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Bdr>
          <w:bottom w:val="single" w:color="2E5496" w:sz="12" w:space="8"/>
        </w:pBdr>
        <w:spacing w:after="0" w:before="1200"/>
        <w:jc w:val="center"/>
      </w:pPr>
      <w:r>
        <w:rPr>
          <w:b/>
          <w:bCs/>
          <w:color w:val="1F3864"/>
          <w:sz w:val="30"/>
          <w:szCs w:val="30"/>
        </w:rPr>
        <w:t xml:space="preserve">[PROJECT NAME] — Twin Towers Façade Package</w:t>
      </w:r>
    </w:p>
    <w:p>
      <w:pPr>
        <w:spacing w:after="120" w:before="480"/>
        <w:jc w:val="center"/>
      </w:pPr>
      <w:r>
        <w:rPr>
          <w:b/>
          <w:bCs/>
          <w:color w:val="2E5496"/>
          <w:sz w:val="56"/>
          <w:szCs w:val="56"/>
        </w:rPr>
        <w:t xml:space="preserve">HSE Plan &amp; RAMS</w:t>
      </w:r>
    </w:p>
    <w:p>
      <w:pPr>
        <w:spacing w:after="600"/>
        <w:jc w:val="center"/>
      </w:pPr>
      <w:r>
        <w:rPr>
          <w:color w:val="595959"/>
          <w:sz w:val="26"/>
          <w:szCs w:val="26"/>
        </w:rPr>
        <w:t xml:space="preserve">Health, Safety &amp; Environment Plan with task-specific RAMS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Document title</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HSE Plan &amp; Task-Specific RAMS</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Project</w:t>
            </w:r>
          </w:p>
        </w:tc>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Tower 1 (51 floors) &amp; Tower 3 (57 floors)</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Document no. / Rev</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[PRJ]-HSE-001 / Rev 0</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Date</w:t>
            </w:r>
          </w:p>
        </w:tc>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[DD-MMM-YYYY]</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Prepared by (HSE Manager)</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Approved by (Project Manager)</w:t>
            </w:r>
          </w:p>
        </w:tc>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[Name]</w:t>
            </w:r>
          </w:p>
        </w:tc>
      </w:tr>
    </w:tbl>
    <w:p>
      <w:pPr>
        <w:spacing w:before="360"/>
        <w:jc w:val="center"/>
      </w:pPr>
      <w:r>
        <w:rPr>
          <w:i/>
          <w:iCs/>
          <w:color w:val="808080"/>
          <w:sz w:val="18"/>
          <w:szCs w:val="18"/>
        </w:rPr>
        <w:t xml:space="preserve">TEMPLATE — replace all bracketed [ ] placeholders with project-specific information.</w:t>
      </w:r>
    </w:p>
    <w:p>
      <w:r>
        <w:br w:type="page"/>
      </w:r>
    </w:p>
    <w:p>
      <w:pPr>
        <w:pStyle w:val="Heading2"/>
      </w:pPr>
      <w: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500"/>
        <w:gridCol w:w="1700"/>
        <w:gridCol w:w="1700"/>
        <w:gridCol w:w="1700"/>
        <w:gridCol w:w="1726"/>
      </w:tblGrid>
      <w:tr>
        <w:trPr>
          <w:tblHeader/>
        </w:trPr>
        <w:tc>
          <w:tcPr>
            <w:tcW w:type="dxa" w:w="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Rev</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Date</w:t>
            </w:r>
          </w:p>
        </w:tc>
        <w:tc>
          <w:tcPr>
            <w:tcW w:type="dxa" w:w="1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Prepared by</w:t>
            </w:r>
          </w:p>
        </w:tc>
        <w:tc>
          <w:tcPr>
            <w:tcW w:type="dxa" w:w="1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Reviewed by</w:t>
            </w:r>
          </w:p>
        </w:tc>
        <w:tc>
          <w:tcPr>
            <w:tcW w:type="dxa" w:w="1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Approved by</w:t>
            </w:r>
          </w:p>
        </w:tc>
        <w:tc>
          <w:tcPr>
            <w:tcW w:type="dxa" w:w="17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Description</w:t>
            </w:r>
          </w:p>
        </w:tc>
      </w:tr>
      <w:tr>
        <w:tc>
          <w:tcPr>
            <w:tcW w:type="dxa" w:w="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0</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[DD-MMM-YYYY]</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c>
          <w:tcPr>
            <w:tcW w:type="dxa" w:w="17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Initial issue</w:t>
            </w:r>
          </w:p>
        </w:tc>
      </w:tr>
      <w:tr>
        <w:tc>
          <w:tcPr>
            <w:tcW w:type="dxa" w:w="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r>
    </w:tbl>
    <w:p>
      <w:r>
        <w:t xml:space="preserve"/>
      </w:r>
    </w:p>
    <w:p>
      <w:pPr>
        <w:pStyle w:val="Heading1"/>
      </w:pPr>
      <w:r>
        <w:t xml:space="preserve">1. Introduction &amp; Scope</w:t>
      </w:r>
    </w:p>
    <w:p>
      <w:pPr>
        <w:spacing w:after="120" w:line="276"/>
      </w:pPr>
      <w:r>
        <w:t xml:space="preserve">This HSE Plan sets out how health, safety and environmental risks are managed on the Façade Package. It applies to all our personnel, suppliers and subcontractors, on and off site, for the full duration from mobilisation through installation, testing and handover. It is read together with the Project Execution Plan, the company HSE management system, the Main Contractor's site rules, and the task-specific RAMS in Part B. Where the Main Contractor's or client's HSE requirements are more stringent, those apply.</w:t>
      </w:r>
    </w:p>
    <w:p>
      <w:pPr>
        <w:pStyle w:val="Heading1"/>
      </w:pPr>
      <w:r>
        <w:t xml:space="preserve">2. HSE Policy Statement</w:t>
      </w:r>
    </w:p>
    <w:p>
      <w:pPr>
        <w:spacing w:after="120" w:line="276"/>
      </w:pPr>
      <w:r>
        <w:t xml:space="preserve">[Insert company HSE Policy signed by senior management.] Our commitment is that everyone goes home safe, every day. We will provide safe systems of work, competent supervision, adequate resources, and a culture in which anyone can stop unsafe work without blame. Nothing we build is worth an injury.</w:t>
      </w:r>
    </w:p>
    <w:p>
      <w:pPr>
        <w:pStyle w:val="Heading1"/>
      </w:pPr>
      <w:r>
        <w:t xml:space="preserve">3. Objectives &amp; KPIs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4526"/>
      </w:tblGrid>
      <w:tr>
        <w:trPr>
          <w:tblHeader/>
        </w:trPr>
        <w:tc>
          <w:tcPr>
            <w:tcW w:type="dxa" w:w="4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HSE objective</w:t>
            </w:r>
          </w:p>
        </w:tc>
        <w:tc>
          <w:tcPr>
            <w:tcW w:type="dxa" w:w="4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Target / KPI</w:t>
            </w:r>
          </w:p>
        </w:tc>
      </w:tr>
      <w:tr>
        <w:tc>
          <w:tcPr>
            <w:tcW w:type="dxa" w:w="4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Fatalities / lost-time injuries</w:t>
            </w:r>
          </w:p>
        </w:tc>
        <w:tc>
          <w:tcPr>
            <w:tcW w:type="dxa" w:w="4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Zero</w:t>
            </w:r>
          </w:p>
        </w:tc>
      </w:tr>
      <w:tr>
        <w:tc>
          <w:tcPr>
            <w:tcW w:type="dxa" w:w="4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Total recordable incident rate (TRIR)</w:t>
            </w:r>
          </w:p>
        </w:tc>
        <w:tc>
          <w:tcPr>
            <w:tcW w:type="dxa" w:w="4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Below [target]</w:t>
            </w:r>
          </w:p>
        </w:tc>
      </w:tr>
      <w:tr>
        <w:tc>
          <w:tcPr>
            <w:tcW w:type="dxa" w:w="4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RAMS &amp; permit compliance for high-risk work</w:t>
            </w:r>
          </w:p>
        </w:tc>
        <w:tc>
          <w:tcPr>
            <w:tcW w:type="dxa" w:w="4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100%</w:t>
            </w:r>
          </w:p>
        </w:tc>
      </w:tr>
      <w:tr>
        <w:tc>
          <w:tcPr>
            <w:tcW w:type="dxa" w:w="4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Close-out of corrective actions</w:t>
            </w:r>
          </w:p>
        </w:tc>
        <w:tc>
          <w:tcPr>
            <w:tcW w:type="dxa" w:w="4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100% within agreed time</w:t>
            </w:r>
          </w:p>
        </w:tc>
      </w:tr>
      <w:tr>
        <w:tc>
          <w:tcPr>
            <w:tcW w:type="dxa" w:w="4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Toolbox talks / inductions</w:t>
            </w:r>
          </w:p>
        </w:tc>
        <w:tc>
          <w:tcPr>
            <w:tcW w:type="dxa" w:w="4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100% of workforce</w:t>
            </w:r>
          </w:p>
        </w:tc>
      </w:tr>
      <w:tr>
        <w:tc>
          <w:tcPr>
            <w:tcW w:type="dxa" w:w="4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HSE inspections &amp; audits</w:t>
            </w:r>
          </w:p>
        </w:tc>
        <w:tc>
          <w:tcPr>
            <w:tcW w:type="dxa" w:w="4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Per schedule; findings closed</w:t>
            </w:r>
          </w:p>
        </w:tc>
      </w:tr>
      <w:tr>
        <w:tc>
          <w:tcPr>
            <w:tcW w:type="dxa" w:w="4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Environmental incidents (spills/waste breaches)</w:t>
            </w:r>
          </w:p>
        </w:tc>
        <w:tc>
          <w:tcPr>
            <w:tcW w:type="dxa" w:w="4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Zero</w:t>
            </w:r>
          </w:p>
        </w:tc>
      </w:tr>
    </w:tbl>
    <w:p>
      <w:pPr>
        <w:pStyle w:val="Heading1"/>
      </w:pPr>
      <w:r>
        <w:t xml:space="preserve">4. Roles &amp; Responsibilities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Role</w:t>
            </w:r>
          </w:p>
        </w:tc>
        <w:tc>
          <w:tcPr>
            <w:tcW w:type="dxa" w:w="66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HSE responsibility</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Project Manager</w:t>
            </w:r>
          </w:p>
        </w:tc>
        <w:tc>
          <w:tcPr>
            <w:tcW w:type="dxa" w:w="6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Overall accountability for HSE; provides resources; sets the tone; reviews performance.</w:t>
            </w:r>
          </w:p>
        </w:tc>
      </w:tr>
      <w:tr>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HSE Manager / Officer</w:t>
            </w:r>
          </w:p>
        </w:tc>
        <w:tc>
          <w:tcPr>
            <w:tcW w:type="dxa" w:w="66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Develops &amp; monitors the plan; RAMS review; inspections, audits, training; incident investigation.</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Site / Construction Manager</w:t>
            </w:r>
          </w:p>
        </w:tc>
        <w:tc>
          <w:tcPr>
            <w:tcW w:type="dxa" w:w="6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Implements safe systems on site; ensures RAMS/permits in place; supervises compliance.</w:t>
            </w:r>
          </w:p>
        </w:tc>
      </w:tr>
      <w:tr>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Supervisors / Foremen</w:t>
            </w:r>
          </w:p>
        </w:tc>
        <w:tc>
          <w:tcPr>
            <w:tcW w:type="dxa" w:w="66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Brief RAMS; conduct toolbox talks; enforce controls; first-line monitoring; stop unsafe work.</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Operatives</w:t>
            </w:r>
          </w:p>
        </w:tc>
        <w:tc>
          <w:tcPr>
            <w:tcW w:type="dxa" w:w="6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Follow RAMS &amp; PPE; use stop-work authority; report hazards, near-misses &amp; incidents.</w:t>
            </w:r>
          </w:p>
        </w:tc>
      </w:tr>
      <w:tr>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Subcontractors / suppliers</w:t>
            </w:r>
          </w:p>
        </w:tc>
        <w:tc>
          <w:tcPr>
            <w:tcW w:type="dxa" w:w="66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Comply with this plan &amp; their own RAMS; provide competent, certified personnel.</w:t>
            </w:r>
          </w:p>
        </w:tc>
      </w:tr>
    </w:tbl>
    <w:p>
      <w:pPr>
        <w:pStyle w:val="Heading1"/>
      </w:pPr>
      <w:r>
        <w:t xml:space="preserve">5. Legal &amp; Standards Compliance</w:t>
      </w:r>
    </w:p>
    <w:p>
      <w:pPr>
        <w:spacing w:after="120" w:line="276"/>
      </w:pPr>
      <w:r>
        <w:t xml:space="preserve">Work complies with the applicable national/local OHS legislation and authority requirements for [jurisdiction], the Main Contractor's HSE requirements, and relevant standards for work at height, lifting operations, electrical safety, COSHH/hazardous substances and environmental control. [List specific governing regulations and codes here.]</w:t>
      </w:r>
    </w:p>
    <w:p>
      <w:pPr>
        <w:pStyle w:val="Heading1"/>
      </w:pPr>
      <w:r>
        <w:t xml:space="preserve">6. Risk Assessment Methodology</w:t>
      </w:r>
    </w:p>
    <w:p>
      <w:pPr>
        <w:spacing w:after="120" w:line="276"/>
      </w:pPr>
      <w:r>
        <w:t xml:space="preserve">Risks are assessed as Likelihood (L) × Severity (S), each rated 1–5, giving a risk score from 1 to 25. Controls are applied following the hierarchy of control (eliminate → substitute → engineering → administrative → PPE) until the residual risk is as low as reasonably practicable. The 5×5 matrix and rating bands are below.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6"/>
        <w:gridCol w:w="1200"/>
        <w:gridCol w:w="1200"/>
        <w:gridCol w:w="1200"/>
        <w:gridCol w:w="1200"/>
        <w:gridCol w:w="1200"/>
      </w:tblGrid>
      <w:tr>
        <w:trPr>
          <w:tblHeader/>
        </w:trPr>
        <w:tc>
          <w:tcPr>
            <w:tcW w:type="dxa" w:w="30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Severity ↓ / Likelihood →</w:t>
            </w:r>
          </w:p>
        </w:tc>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L 1</w:t>
            </w:r>
          </w:p>
        </w:tc>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L 2</w:t>
            </w:r>
          </w:p>
        </w:tc>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L 3</w:t>
            </w:r>
          </w:p>
        </w:tc>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L 4</w:t>
            </w:r>
          </w:p>
        </w:tc>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L 5</w:t>
            </w:r>
          </w:p>
        </w:tc>
      </w:tr>
      <w:tr>
        <w:tc>
          <w:tcPr>
            <w:tcW w:type="dxa" w:w="3026"/>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center"/>
            </w:pPr>
            <w:r>
              <w:rPr>
                <w:b/>
                <w:bCs/>
                <w:color w:val="000000"/>
                <w:sz w:val="20"/>
                <w:szCs w:val="20"/>
              </w:rPr>
              <w:t xml:space="preserve">S 5</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5</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10</w:t>
            </w:r>
          </w:p>
        </w:tc>
        <w:tc>
          <w:tcPr>
            <w:tcW w:type="dxa" w:w="1200"/>
            <w:tcBorders>
              <w:top w:val="single" w:color="BFBFBF" w:sz="1"/>
              <w:left w:val="single" w:color="BFBFBF" w:sz="1"/>
              <w:bottom w:val="single" w:color="BFBFBF" w:sz="1"/>
              <w:right w:val="single" w:color="BFBFBF" w:sz="1"/>
            </w:tcBorders>
            <w:shd w:fill="FF9999" w:val="clear"/>
            <w:tcMar>
              <w:top w:type="dxa" w:w="60"/>
              <w:left w:type="dxa" w:w="110"/>
              <w:bottom w:type="dxa" w:w="60"/>
              <w:right w:type="dxa" w:w="110"/>
            </w:tcMar>
            <w:vAlign w:val="center"/>
          </w:tcPr>
          <w:p>
            <w:pPr>
              <w:jc w:val="center"/>
            </w:pPr>
            <w:r>
              <w:rPr>
                <w:b/>
                <w:bCs/>
                <w:color w:val="000000"/>
                <w:sz w:val="20"/>
                <w:szCs w:val="20"/>
              </w:rPr>
              <w:t xml:space="preserve">15</w:t>
            </w:r>
          </w:p>
        </w:tc>
        <w:tc>
          <w:tcPr>
            <w:tcW w:type="dxa" w:w="1200"/>
            <w:tcBorders>
              <w:top w:val="single" w:color="BFBFBF" w:sz="1"/>
              <w:left w:val="single" w:color="BFBFBF" w:sz="1"/>
              <w:bottom w:val="single" w:color="BFBFBF" w:sz="1"/>
              <w:right w:val="single" w:color="BFBFBF" w:sz="1"/>
            </w:tcBorders>
            <w:shd w:fill="FF9999" w:val="clear"/>
            <w:tcMar>
              <w:top w:type="dxa" w:w="60"/>
              <w:left w:type="dxa" w:w="110"/>
              <w:bottom w:type="dxa" w:w="60"/>
              <w:right w:type="dxa" w:w="110"/>
            </w:tcMar>
            <w:vAlign w:val="center"/>
          </w:tcPr>
          <w:p>
            <w:pPr>
              <w:jc w:val="center"/>
            </w:pPr>
            <w:r>
              <w:rPr>
                <w:b/>
                <w:bCs/>
                <w:color w:val="000000"/>
                <w:sz w:val="20"/>
                <w:szCs w:val="20"/>
              </w:rPr>
              <w:t xml:space="preserve">20</w:t>
            </w:r>
          </w:p>
        </w:tc>
        <w:tc>
          <w:tcPr>
            <w:tcW w:type="dxa" w:w="1200"/>
            <w:tcBorders>
              <w:top w:val="single" w:color="BFBFBF" w:sz="1"/>
              <w:left w:val="single" w:color="BFBFBF" w:sz="1"/>
              <w:bottom w:val="single" w:color="BFBFBF" w:sz="1"/>
              <w:right w:val="single" w:color="BFBFBF" w:sz="1"/>
            </w:tcBorders>
            <w:shd w:fill="FF9999" w:val="clear"/>
            <w:tcMar>
              <w:top w:type="dxa" w:w="60"/>
              <w:left w:type="dxa" w:w="110"/>
              <w:bottom w:type="dxa" w:w="60"/>
              <w:right w:type="dxa" w:w="110"/>
            </w:tcMar>
            <w:vAlign w:val="center"/>
          </w:tcPr>
          <w:p>
            <w:pPr>
              <w:jc w:val="center"/>
            </w:pPr>
            <w:r>
              <w:rPr>
                <w:b/>
                <w:bCs/>
                <w:color w:val="000000"/>
                <w:sz w:val="20"/>
                <w:szCs w:val="20"/>
              </w:rPr>
              <w:t xml:space="preserve">25</w:t>
            </w:r>
          </w:p>
        </w:tc>
      </w:tr>
      <w:tr>
        <w:tc>
          <w:tcPr>
            <w:tcW w:type="dxa" w:w="3026"/>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center"/>
            </w:pPr>
            <w:r>
              <w:rPr>
                <w:b/>
                <w:bCs/>
                <w:color w:val="000000"/>
                <w:sz w:val="20"/>
                <w:szCs w:val="20"/>
              </w:rPr>
              <w:t xml:space="preserve">S 4</w:t>
            </w:r>
          </w:p>
        </w:tc>
        <w:tc>
          <w:tcPr>
            <w:tcW w:type="dxa" w:w="12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center"/>
            </w:pPr>
            <w:r>
              <w:rPr>
                <w:b/>
                <w:bCs/>
                <w:color w:val="000000"/>
                <w:sz w:val="20"/>
                <w:szCs w:val="20"/>
              </w:rPr>
              <w:t xml:space="preserve">4</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8</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12</w:t>
            </w:r>
          </w:p>
        </w:tc>
        <w:tc>
          <w:tcPr>
            <w:tcW w:type="dxa" w:w="1200"/>
            <w:tcBorders>
              <w:top w:val="single" w:color="BFBFBF" w:sz="1"/>
              <w:left w:val="single" w:color="BFBFBF" w:sz="1"/>
              <w:bottom w:val="single" w:color="BFBFBF" w:sz="1"/>
              <w:right w:val="single" w:color="BFBFBF" w:sz="1"/>
            </w:tcBorders>
            <w:shd w:fill="FF9999" w:val="clear"/>
            <w:tcMar>
              <w:top w:type="dxa" w:w="60"/>
              <w:left w:type="dxa" w:w="110"/>
              <w:bottom w:type="dxa" w:w="60"/>
              <w:right w:type="dxa" w:w="110"/>
            </w:tcMar>
            <w:vAlign w:val="center"/>
          </w:tcPr>
          <w:p>
            <w:pPr>
              <w:jc w:val="center"/>
            </w:pPr>
            <w:r>
              <w:rPr>
                <w:b/>
                <w:bCs/>
                <w:color w:val="000000"/>
                <w:sz w:val="20"/>
                <w:szCs w:val="20"/>
              </w:rPr>
              <w:t xml:space="preserve">16</w:t>
            </w:r>
          </w:p>
        </w:tc>
        <w:tc>
          <w:tcPr>
            <w:tcW w:type="dxa" w:w="1200"/>
            <w:tcBorders>
              <w:top w:val="single" w:color="BFBFBF" w:sz="1"/>
              <w:left w:val="single" w:color="BFBFBF" w:sz="1"/>
              <w:bottom w:val="single" w:color="BFBFBF" w:sz="1"/>
              <w:right w:val="single" w:color="BFBFBF" w:sz="1"/>
            </w:tcBorders>
            <w:shd w:fill="FF9999" w:val="clear"/>
            <w:tcMar>
              <w:top w:type="dxa" w:w="60"/>
              <w:left w:type="dxa" w:w="110"/>
              <w:bottom w:type="dxa" w:w="60"/>
              <w:right w:type="dxa" w:w="110"/>
            </w:tcMar>
            <w:vAlign w:val="center"/>
          </w:tcPr>
          <w:p>
            <w:pPr>
              <w:jc w:val="center"/>
            </w:pPr>
            <w:r>
              <w:rPr>
                <w:b/>
                <w:bCs/>
                <w:color w:val="000000"/>
                <w:sz w:val="20"/>
                <w:szCs w:val="20"/>
              </w:rPr>
              <w:t xml:space="preserve">20</w:t>
            </w:r>
          </w:p>
        </w:tc>
      </w:tr>
      <w:tr>
        <w:tc>
          <w:tcPr>
            <w:tcW w:type="dxa" w:w="3026"/>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center"/>
            </w:pPr>
            <w:r>
              <w:rPr>
                <w:b/>
                <w:bCs/>
                <w:color w:val="000000"/>
                <w:sz w:val="20"/>
                <w:szCs w:val="20"/>
              </w:rPr>
              <w:t xml:space="preserve">S 3</w:t>
            </w:r>
          </w:p>
        </w:tc>
        <w:tc>
          <w:tcPr>
            <w:tcW w:type="dxa" w:w="12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center"/>
            </w:pPr>
            <w:r>
              <w:rPr>
                <w:b/>
                <w:bCs/>
                <w:color w:val="000000"/>
                <w:sz w:val="20"/>
                <w:szCs w:val="20"/>
              </w:rPr>
              <w:t xml:space="preserve">3</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6</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9</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12</w:t>
            </w:r>
          </w:p>
        </w:tc>
        <w:tc>
          <w:tcPr>
            <w:tcW w:type="dxa" w:w="1200"/>
            <w:tcBorders>
              <w:top w:val="single" w:color="BFBFBF" w:sz="1"/>
              <w:left w:val="single" w:color="BFBFBF" w:sz="1"/>
              <w:bottom w:val="single" w:color="BFBFBF" w:sz="1"/>
              <w:right w:val="single" w:color="BFBFBF" w:sz="1"/>
            </w:tcBorders>
            <w:shd w:fill="FF9999" w:val="clear"/>
            <w:tcMar>
              <w:top w:type="dxa" w:w="60"/>
              <w:left w:type="dxa" w:w="110"/>
              <w:bottom w:type="dxa" w:w="60"/>
              <w:right w:type="dxa" w:w="110"/>
            </w:tcMar>
            <w:vAlign w:val="center"/>
          </w:tcPr>
          <w:p>
            <w:pPr>
              <w:jc w:val="center"/>
            </w:pPr>
            <w:r>
              <w:rPr>
                <w:b/>
                <w:bCs/>
                <w:color w:val="000000"/>
                <w:sz w:val="20"/>
                <w:szCs w:val="20"/>
              </w:rPr>
              <w:t xml:space="preserve">15</w:t>
            </w:r>
          </w:p>
        </w:tc>
      </w:tr>
      <w:tr>
        <w:tc>
          <w:tcPr>
            <w:tcW w:type="dxa" w:w="3026"/>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center"/>
            </w:pPr>
            <w:r>
              <w:rPr>
                <w:b/>
                <w:bCs/>
                <w:color w:val="000000"/>
                <w:sz w:val="20"/>
                <w:szCs w:val="20"/>
              </w:rPr>
              <w:t xml:space="preserve">S 2</w:t>
            </w:r>
          </w:p>
        </w:tc>
        <w:tc>
          <w:tcPr>
            <w:tcW w:type="dxa" w:w="12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center"/>
            </w:pPr>
            <w:r>
              <w:rPr>
                <w:b/>
                <w:bCs/>
                <w:color w:val="000000"/>
                <w:sz w:val="20"/>
                <w:szCs w:val="20"/>
              </w:rPr>
              <w:t xml:space="preserve">2</w:t>
            </w:r>
          </w:p>
        </w:tc>
        <w:tc>
          <w:tcPr>
            <w:tcW w:type="dxa" w:w="12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center"/>
            </w:pPr>
            <w:r>
              <w:rPr>
                <w:b/>
                <w:bCs/>
                <w:color w:val="000000"/>
                <w:sz w:val="20"/>
                <w:szCs w:val="20"/>
              </w:rPr>
              <w:t xml:space="preserve">4</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6</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8</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10</w:t>
            </w:r>
          </w:p>
        </w:tc>
      </w:tr>
      <w:tr>
        <w:tc>
          <w:tcPr>
            <w:tcW w:type="dxa" w:w="3026"/>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center"/>
            </w:pPr>
            <w:r>
              <w:rPr>
                <w:b/>
                <w:bCs/>
                <w:color w:val="000000"/>
                <w:sz w:val="20"/>
                <w:szCs w:val="20"/>
              </w:rPr>
              <w:t xml:space="preserve">S 1</w:t>
            </w:r>
          </w:p>
        </w:tc>
        <w:tc>
          <w:tcPr>
            <w:tcW w:type="dxa" w:w="12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center"/>
            </w:pPr>
            <w:r>
              <w:rPr>
                <w:b/>
                <w:bCs/>
                <w:color w:val="000000"/>
                <w:sz w:val="20"/>
                <w:szCs w:val="20"/>
              </w:rPr>
              <w:t xml:space="preserve">1</w:t>
            </w:r>
          </w:p>
        </w:tc>
        <w:tc>
          <w:tcPr>
            <w:tcW w:type="dxa" w:w="12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center"/>
            </w:pPr>
            <w:r>
              <w:rPr>
                <w:b/>
                <w:bCs/>
                <w:color w:val="000000"/>
                <w:sz w:val="20"/>
                <w:szCs w:val="20"/>
              </w:rPr>
              <w:t xml:space="preserve">2</w:t>
            </w:r>
          </w:p>
        </w:tc>
        <w:tc>
          <w:tcPr>
            <w:tcW w:type="dxa" w:w="12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center"/>
            </w:pPr>
            <w:r>
              <w:rPr>
                <w:b/>
                <w:bCs/>
                <w:color w:val="000000"/>
                <w:sz w:val="20"/>
                <w:szCs w:val="20"/>
              </w:rPr>
              <w:t xml:space="preserve">3</w:t>
            </w:r>
          </w:p>
        </w:tc>
        <w:tc>
          <w:tcPr>
            <w:tcW w:type="dxa" w:w="12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center"/>
            </w:pPr>
            <w:r>
              <w:rPr>
                <w:b/>
                <w:bCs/>
                <w:color w:val="000000"/>
                <w:sz w:val="20"/>
                <w:szCs w:val="20"/>
              </w:rPr>
              <w:t xml:space="preserve">4</w:t>
            </w:r>
          </w:p>
        </w:tc>
        <w:tc>
          <w:tcPr>
            <w:tcW w:type="dxa" w:w="12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center"/>
            </w:pPr>
            <w:r>
              <w:rPr>
                <w:b/>
                <w:bCs/>
                <w:color w:val="000000"/>
                <w:sz w:val="20"/>
                <w:szCs w:val="20"/>
              </w:rPr>
              <w:t xml:space="preserve">5</w:t>
            </w:r>
          </w:p>
        </w:tc>
      </w:tr>
    </w:tbl>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5226"/>
      </w:tblGrid>
      <w:tr>
        <w:trPr>
          <w:tblHeader/>
        </w:trPr>
        <w:tc>
          <w:tcPr>
            <w:tcW w:type="dxa" w:w="1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Score</w:t>
            </w:r>
          </w:p>
        </w:tc>
        <w:tc>
          <w:tcPr>
            <w:tcW w:type="dxa" w:w="2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Rating</w:t>
            </w:r>
          </w:p>
        </w:tc>
        <w:tc>
          <w:tcPr>
            <w:tcW w:type="dxa" w:w="52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Action</w:t>
            </w:r>
          </w:p>
        </w:tc>
      </w:tr>
      <w:tr>
        <w:tc>
          <w:tcPr>
            <w:tcW w:type="dxa" w:w="1800"/>
            <w:tcBorders>
              <w:top w:val="single" w:color="BFBFBF" w:sz="1"/>
              <w:left w:val="single" w:color="BFBFBF" w:sz="1"/>
              <w:bottom w:val="single" w:color="BFBFBF" w:sz="1"/>
              <w:right w:val="single" w:color="BFBFBF" w:sz="1"/>
            </w:tcBorders>
            <w:shd w:fill="C6E0B4" w:val="clear"/>
            <w:tcMar>
              <w:top w:type="dxa" w:w="60"/>
              <w:left w:type="dxa" w:w="110"/>
              <w:bottom w:type="dxa" w:w="60"/>
              <w:right w:type="dxa" w:w="110"/>
            </w:tcMar>
            <w:vAlign w:val="center"/>
          </w:tcPr>
          <w:p>
            <w:pPr>
              <w:jc w:val="left"/>
            </w:pPr>
            <w:r>
              <w:rPr>
                <w:b/>
                <w:bCs/>
                <w:color w:val="000000"/>
                <w:sz w:val="20"/>
                <w:szCs w:val="20"/>
              </w:rPr>
              <w:t xml:space="preserve">1 – 4</w:t>
            </w:r>
          </w:p>
        </w:tc>
        <w:tc>
          <w:tcPr>
            <w:tcW w:type="dxa" w:w="2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Low</w:t>
            </w:r>
          </w:p>
        </w:tc>
        <w:tc>
          <w:tcPr>
            <w:tcW w:type="dxa" w:w="5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Manage by routine procedures; monitor.</w:t>
            </w:r>
          </w:p>
        </w:tc>
      </w:tr>
      <w:tr>
        <w:tc>
          <w:tcPr>
            <w:tcW w:type="dxa" w:w="1800"/>
            <w:tcBorders>
              <w:top w:val="single" w:color="BFBFBF" w:sz="1"/>
              <w:left w:val="single" w:color="BFBFBF" w:sz="1"/>
              <w:bottom w:val="single" w:color="BFBFBF" w:sz="1"/>
              <w:right w:val="single" w:color="BFBFBF" w:sz="1"/>
            </w:tcBorders>
            <w:shd w:fill="FFE699" w:val="clear"/>
            <w:tcMar>
              <w:top w:type="dxa" w:w="60"/>
              <w:left w:type="dxa" w:w="110"/>
              <w:bottom w:type="dxa" w:w="60"/>
              <w:right w:type="dxa" w:w="110"/>
            </w:tcMar>
            <w:vAlign w:val="center"/>
          </w:tcPr>
          <w:p>
            <w:pPr>
              <w:jc w:val="left"/>
            </w:pPr>
            <w:r>
              <w:rPr>
                <w:b/>
                <w:bCs/>
                <w:color w:val="000000"/>
                <w:sz w:val="20"/>
                <w:szCs w:val="20"/>
              </w:rPr>
              <w:t xml:space="preserve">5 – 12</w:t>
            </w:r>
          </w:p>
        </w:tc>
        <w:tc>
          <w:tcPr>
            <w:tcW w:type="dxa" w:w="2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Medium</w:t>
            </w:r>
          </w:p>
        </w:tc>
        <w:tc>
          <w:tcPr>
            <w:tcW w:type="dxa" w:w="52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Additional controls required; supervise; reassess.</w:t>
            </w:r>
          </w:p>
        </w:tc>
      </w:tr>
      <w:tr>
        <w:tc>
          <w:tcPr>
            <w:tcW w:type="dxa" w:w="1800"/>
            <w:tcBorders>
              <w:top w:val="single" w:color="BFBFBF" w:sz="1"/>
              <w:left w:val="single" w:color="BFBFBF" w:sz="1"/>
              <w:bottom w:val="single" w:color="BFBFBF" w:sz="1"/>
              <w:right w:val="single" w:color="BFBFBF" w:sz="1"/>
            </w:tcBorders>
            <w:shd w:fill="FF9999" w:val="clear"/>
            <w:tcMar>
              <w:top w:type="dxa" w:w="60"/>
              <w:left w:type="dxa" w:w="110"/>
              <w:bottom w:type="dxa" w:w="60"/>
              <w:right w:type="dxa" w:w="110"/>
            </w:tcMar>
            <w:vAlign w:val="center"/>
          </w:tcPr>
          <w:p>
            <w:pPr>
              <w:jc w:val="left"/>
            </w:pPr>
            <w:r>
              <w:rPr>
                <w:b/>
                <w:bCs/>
                <w:color w:val="000000"/>
                <w:sz w:val="20"/>
                <w:szCs w:val="20"/>
              </w:rPr>
              <w:t xml:space="preserve">15 – 25</w:t>
            </w:r>
          </w:p>
        </w:tc>
        <w:tc>
          <w:tcPr>
            <w:tcW w:type="dxa" w:w="2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High</w:t>
            </w:r>
          </w:p>
        </w:tc>
        <w:tc>
          <w:tcPr>
            <w:tcW w:type="dxa" w:w="5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Do not proceed until controls reduce risk; senior sign-off.</w:t>
            </w:r>
          </w:p>
        </w:tc>
      </w:tr>
    </w:tbl>
    <w:p>
      <w:pPr>
        <w:spacing w:after="120" w:line="276"/>
      </w:pPr>
      <w:r>
        <w:t xml:space="preserve">The hierarchy of control is applied in order; PPE is the last line of defence, not the first.</w:t>
      </w:r>
    </w:p>
    <w:p>
      <w:pPr>
        <w:pStyle w:val="Heading1"/>
      </w:pPr>
      <w:r>
        <w:t xml:space="preserve">7. Principal Project Hazards</w:t>
      </w:r>
    </w:p>
    <w:p>
      <w:pPr>
        <w:spacing w:after="120" w:line="276"/>
      </w:pPr>
      <w:r>
        <w:t xml:space="preserve">The dominant risks on a high-rise stick-system façade package are:</w:t>
      </w:r>
    </w:p>
    <w:p>
      <w:pPr>
        <w:pStyle w:val="ListParagraph"/>
        <w:numPr>
          <w:ilvl w:val="0"/>
          <w:numId w:val="2"/>
        </w:numPr>
        <w:spacing w:after="60"/>
      </w:pPr>
      <w:r>
        <w:t xml:space="preserve">Work at height — installation across 51 and 57 floors using mast climbers, BMUs and MEWPs.</w:t>
      </w:r>
    </w:p>
    <w:p>
      <w:pPr>
        <w:pStyle w:val="ListParagraph"/>
        <w:numPr>
          <w:ilvl w:val="0"/>
          <w:numId w:val="2"/>
        </w:numPr>
        <w:spacing w:after="60"/>
      </w:pPr>
      <w:r>
        <w:t xml:space="preserve">Glass and panel handling — heavy, fragile units; manual handling and laceration risk.</w:t>
      </w:r>
    </w:p>
    <w:p>
      <w:pPr>
        <w:pStyle w:val="ListParagraph"/>
        <w:numPr>
          <w:ilvl w:val="0"/>
          <w:numId w:val="2"/>
        </w:numPr>
        <w:spacing w:after="60"/>
      </w:pPr>
      <w:r>
        <w:t xml:space="preserve">Lifting operations — hoisting large quantities of material up two towers.</w:t>
      </w:r>
    </w:p>
    <w:p>
      <w:pPr>
        <w:pStyle w:val="ListParagraph"/>
        <w:numPr>
          <w:ilvl w:val="0"/>
          <w:numId w:val="2"/>
        </w:numPr>
        <w:spacing w:after="60"/>
      </w:pPr>
      <w:r>
        <w:t xml:space="preserve">Falling objects — risk to workers and public below the façade line.</w:t>
      </w:r>
    </w:p>
    <w:p>
      <w:pPr>
        <w:pStyle w:val="ListParagraph"/>
        <w:numPr>
          <w:ilvl w:val="0"/>
          <w:numId w:val="2"/>
        </w:numPr>
        <w:spacing w:after="60"/>
      </w:pPr>
      <w:r>
        <w:t xml:space="preserve">Hazardous substances — sealants, primers, solvents (COSHH).</w:t>
      </w:r>
    </w:p>
    <w:p>
      <w:pPr>
        <w:pStyle w:val="ListParagraph"/>
        <w:numPr>
          <w:ilvl w:val="0"/>
          <w:numId w:val="2"/>
        </w:numPr>
        <w:spacing w:after="60"/>
      </w:pPr>
      <w:r>
        <w:t xml:space="preserve">Hot works — welding/cutting at louver/steel interfaces.</w:t>
      </w:r>
    </w:p>
    <w:p>
      <w:pPr>
        <w:pStyle w:val="ListParagraph"/>
        <w:numPr>
          <w:ilvl w:val="0"/>
          <w:numId w:val="2"/>
        </w:numPr>
        <w:spacing w:after="60"/>
      </w:pPr>
      <w:r>
        <w:t xml:space="preserve">Adverse weather — wind affecting work at height and lifting.</w:t>
      </w:r>
    </w:p>
    <w:p>
      <w:pPr>
        <w:pStyle w:val="ListParagraph"/>
        <w:numPr>
          <w:ilvl w:val="0"/>
          <w:numId w:val="2"/>
        </w:numPr>
        <w:spacing w:after="60"/>
      </w:pPr>
      <w:r>
        <w:t xml:space="preserve">Electrical — temporary power for access equipment.</w:t>
      </w:r>
    </w:p>
    <w:p>
      <w:pPr>
        <w:pStyle w:val="ListParagraph"/>
        <w:numPr>
          <w:ilvl w:val="0"/>
          <w:numId w:val="2"/>
        </w:numPr>
        <w:spacing w:after="60"/>
      </w:pPr>
      <w:r>
        <w:t xml:space="preserve">Concurrent two-tower activity — congestion and coordination.</w:t>
      </w:r>
    </w:p>
    <w:p>
      <w:pPr>
        <w:pStyle w:val="Heading1"/>
      </w:pPr>
      <w:r>
        <w:t xml:space="preserve">8. Safe Systems of Work — Permits &amp; RAMS</w:t>
      </w:r>
    </w:p>
    <w:p>
      <w:pPr>
        <w:pStyle w:val="ListParagraph"/>
        <w:numPr>
          <w:ilvl w:val="0"/>
          <w:numId w:val="2"/>
        </w:numPr>
        <w:spacing w:after="60"/>
      </w:pPr>
      <w:r>
        <w:t xml:space="preserve">No high-risk activity proceeds without an approved, task-specific RAMS briefed to all involved.</w:t>
      </w:r>
    </w:p>
    <w:p>
      <w:pPr>
        <w:pStyle w:val="ListParagraph"/>
        <w:numPr>
          <w:ilvl w:val="0"/>
          <w:numId w:val="2"/>
        </w:numPr>
        <w:spacing w:after="60"/>
      </w:pPr>
      <w:r>
        <w:t xml:space="preserve">Permit-to-work governs work at height, lifting operations, hot works and confined/COSHH-critical tasks.</w:t>
      </w:r>
    </w:p>
    <w:p>
      <w:pPr>
        <w:pStyle w:val="ListParagraph"/>
        <w:numPr>
          <w:ilvl w:val="0"/>
          <w:numId w:val="2"/>
        </w:numPr>
        <w:spacing w:after="60"/>
      </w:pPr>
      <w:r>
        <w:t xml:space="preserve">RAMS are reviewed before work, when methods change, and after any incident.</w:t>
      </w:r>
    </w:p>
    <w:p>
      <w:pPr>
        <w:pStyle w:val="ListParagraph"/>
        <w:numPr>
          <w:ilvl w:val="0"/>
          <w:numId w:val="2"/>
        </w:numPr>
        <w:spacing w:after="60"/>
      </w:pPr>
      <w:r>
        <w:t xml:space="preserve">Stop-work authority: anyone may halt work they believe is unsafe; work resumes only when made safe.</w:t>
      </w:r>
    </w:p>
    <w:p>
      <w:pPr>
        <w:pStyle w:val="Heading1"/>
      </w:pPr>
      <w:r>
        <w:t xml:space="preserve">9. Training, Induction &amp; Competency</w:t>
      </w:r>
    </w:p>
    <w:p>
      <w:pPr>
        <w:pStyle w:val="ListParagraph"/>
        <w:numPr>
          <w:ilvl w:val="0"/>
          <w:numId w:val="2"/>
        </w:numPr>
        <w:spacing w:after="60"/>
      </w:pPr>
      <w:r>
        <w:t xml:space="preserve">All personnel complete site induction before starting; visitors escorted.</w:t>
      </w:r>
    </w:p>
    <w:p>
      <w:pPr>
        <w:pStyle w:val="ListParagraph"/>
        <w:numPr>
          <w:ilvl w:val="0"/>
          <w:numId w:val="2"/>
        </w:numPr>
        <w:spacing w:after="60"/>
      </w:pPr>
      <w:r>
        <w:t xml:space="preserve">Task-specific training and valid certification for MEWP/mast climber/BMU operators, slingers/banksmen, and glaziers.</w:t>
      </w:r>
    </w:p>
    <w:p>
      <w:pPr>
        <w:pStyle w:val="ListParagraph"/>
        <w:numPr>
          <w:ilvl w:val="0"/>
          <w:numId w:val="2"/>
        </w:numPr>
        <w:spacing w:after="60"/>
      </w:pPr>
      <w:r>
        <w:t xml:space="preserve">Daily/weekly toolbox talks on upcoming tasks and lessons learned.</w:t>
      </w:r>
    </w:p>
    <w:p>
      <w:pPr>
        <w:pStyle w:val="ListParagraph"/>
        <w:numPr>
          <w:ilvl w:val="0"/>
          <w:numId w:val="2"/>
        </w:numPr>
        <w:spacing w:after="60"/>
      </w:pPr>
      <w:r>
        <w:t xml:space="preserve">Competency records and certificates verified and held on file.</w:t>
      </w:r>
    </w:p>
    <w:p>
      <w:pPr>
        <w:pStyle w:val="Heading1"/>
      </w:pPr>
      <w:r>
        <w:t xml:space="preserve">10. PPE Requirements</w:t>
      </w:r>
    </w:p>
    <w:p>
      <w:pPr>
        <w:spacing w:after="120" w:line="276"/>
      </w:pPr>
      <w:r>
        <w:t xml:space="preserve">Minimum site PPE: hard hat, safety footwear, hi-vis, eye protection and gloves. Task PPE adds: full-body harness and lanyard for work at height, cut-resistant gloves and arm protection for glass handling, hearing protection in noisy zones, and RPE per the COSHH assessment for sealants/solvents.</w:t>
      </w:r>
    </w:p>
    <w:p>
      <w:pPr>
        <w:pStyle w:val="Heading1"/>
      </w:pPr>
      <w:r>
        <w:t xml:space="preserve">11. Site Rules (Golden Rules)</w:t>
      </w:r>
    </w:p>
    <w:p>
      <w:pPr>
        <w:pStyle w:val="ListParagraph"/>
        <w:numPr>
          <w:ilvl w:val="0"/>
          <w:numId w:val="2"/>
        </w:numPr>
        <w:spacing w:after="60"/>
      </w:pPr>
      <w:r>
        <w:t xml:space="preserve">Always be tied off at height — 100% fall protection.</w:t>
      </w:r>
    </w:p>
    <w:p>
      <w:pPr>
        <w:pStyle w:val="ListParagraph"/>
        <w:numPr>
          <w:ilvl w:val="0"/>
          <w:numId w:val="2"/>
        </w:numPr>
        <w:spacing w:after="60"/>
      </w:pPr>
      <w:r>
        <w:t xml:space="preserve">No work at height, lifting or hot work without a valid permit and RAMS.</w:t>
      </w:r>
    </w:p>
    <w:p>
      <w:pPr>
        <w:pStyle w:val="ListParagraph"/>
        <w:numPr>
          <w:ilvl w:val="0"/>
          <w:numId w:val="2"/>
        </w:numPr>
        <w:spacing w:after="60"/>
      </w:pPr>
      <w:r>
        <w:t xml:space="preserve">Never enter a barricaded exclusion zone below lifting or glazing.</w:t>
      </w:r>
    </w:p>
    <w:p>
      <w:pPr>
        <w:pStyle w:val="ListParagraph"/>
        <w:numPr>
          <w:ilvl w:val="0"/>
          <w:numId w:val="2"/>
        </w:numPr>
        <w:spacing w:after="60"/>
      </w:pPr>
      <w:r>
        <w:t xml:space="preserve">Tools and materials tethered or contained at height.</w:t>
      </w:r>
    </w:p>
    <w:p>
      <w:pPr>
        <w:pStyle w:val="ListParagraph"/>
        <w:numPr>
          <w:ilvl w:val="0"/>
          <w:numId w:val="2"/>
        </w:numPr>
        <w:spacing w:after="60"/>
      </w:pPr>
      <w:r>
        <w:t xml:space="preserve">Report every incident and near-miss the same day.</w:t>
      </w:r>
    </w:p>
    <w:p>
      <w:pPr>
        <w:pStyle w:val="ListParagraph"/>
        <w:numPr>
          <w:ilvl w:val="0"/>
          <w:numId w:val="2"/>
        </w:numPr>
        <w:spacing w:after="60"/>
      </w:pPr>
      <w:r>
        <w:t xml:space="preserve">Stop work if conditions become unsafe (weather, equipment, access).</w:t>
      </w:r>
    </w:p>
    <w:p>
      <w:pPr>
        <w:pStyle w:val="ListParagraph"/>
        <w:numPr>
          <w:ilvl w:val="0"/>
          <w:numId w:val="2"/>
        </w:numPr>
        <w:spacing w:after="60"/>
      </w:pPr>
      <w:r>
        <w:t xml:space="preserve">No alcohol or drugs; fit for work.</w:t>
      </w:r>
    </w:p>
    <w:p>
      <w:pPr>
        <w:pStyle w:val="Heading1"/>
      </w:pPr>
      <w:r>
        <w:t xml:space="preserve">12. Inspection, Audit &amp; Monitoring</w:t>
      </w:r>
    </w:p>
    <w:p>
      <w:pPr>
        <w:pStyle w:val="ListParagraph"/>
        <w:numPr>
          <w:ilvl w:val="0"/>
          <w:numId w:val="2"/>
        </w:numPr>
        <w:spacing w:after="60"/>
      </w:pPr>
      <w:r>
        <w:t xml:space="preserve">Daily supervisor checks; weekly HSE inspections; periodic management audits.</w:t>
      </w:r>
    </w:p>
    <w:p>
      <w:pPr>
        <w:pStyle w:val="ListParagraph"/>
        <w:numPr>
          <w:ilvl w:val="0"/>
          <w:numId w:val="2"/>
        </w:numPr>
        <w:spacing w:after="60"/>
      </w:pPr>
      <w:r>
        <w:t xml:space="preserve">Statutory/thorough examination of lifting and access equipment kept current (e.g. LOLER-type regime).</w:t>
      </w:r>
    </w:p>
    <w:p>
      <w:pPr>
        <w:pStyle w:val="ListParagraph"/>
        <w:numPr>
          <w:ilvl w:val="0"/>
          <w:numId w:val="2"/>
        </w:numPr>
        <w:spacing w:after="60"/>
      </w:pPr>
      <w:r>
        <w:t xml:space="preserve">Findings logged with owner and due date; closure tracked.</w:t>
      </w:r>
    </w:p>
    <w:p>
      <w:pPr>
        <w:pStyle w:val="Heading1"/>
      </w:pPr>
      <w:r>
        <w:t xml:space="preserve">13. Incident Reporting &amp; Investigation</w:t>
      </w:r>
    </w:p>
    <w:p>
      <w:pPr>
        <w:pStyle w:val="ListParagraph"/>
        <w:numPr>
          <w:ilvl w:val="0"/>
          <w:numId w:val="2"/>
        </w:numPr>
        <w:spacing w:after="60"/>
      </w:pPr>
      <w:r>
        <w:t xml:space="preserve">All incidents, injuries and near-misses reported immediately to the HSE Manager and Main Contractor.</w:t>
      </w:r>
    </w:p>
    <w:p>
      <w:pPr>
        <w:pStyle w:val="ListParagraph"/>
        <w:numPr>
          <w:ilvl w:val="0"/>
          <w:numId w:val="2"/>
        </w:numPr>
        <w:spacing w:after="60"/>
      </w:pPr>
      <w:r>
        <w:t xml:space="preserve">Investigation proportionate to severity; root cause identified; corrective/preventive actions tracked.</w:t>
      </w:r>
    </w:p>
    <w:p>
      <w:pPr>
        <w:pStyle w:val="ListParagraph"/>
        <w:numPr>
          <w:ilvl w:val="0"/>
          <w:numId w:val="2"/>
        </w:numPr>
        <w:spacing w:after="60"/>
      </w:pPr>
      <w:r>
        <w:t xml:space="preserve">Statutory/notifiable events reported to the authority as required.</w:t>
      </w:r>
    </w:p>
    <w:p>
      <w:pPr>
        <w:pStyle w:val="ListParagraph"/>
        <w:numPr>
          <w:ilvl w:val="0"/>
          <w:numId w:val="2"/>
        </w:numPr>
        <w:spacing w:after="60"/>
      </w:pPr>
      <w:r>
        <w:t xml:space="preserve">Lessons shared across both towers via toolbox talks and alerts.</w:t>
      </w:r>
    </w:p>
    <w:p>
      <w:pPr>
        <w:pStyle w:val="Heading1"/>
      </w:pPr>
      <w:r>
        <w:t xml:space="preserve">14. Emergency Preparedness &amp; Rescue at Height</w:t>
      </w:r>
    </w:p>
    <w:p>
      <w:pPr>
        <w:pStyle w:val="ListParagraph"/>
        <w:numPr>
          <w:ilvl w:val="0"/>
          <w:numId w:val="2"/>
        </w:numPr>
        <w:spacing w:after="60"/>
      </w:pPr>
      <w:r>
        <w:t xml:space="preserve">Emergency plan aligned with the Main Contractor: assembly points, alarms, first aid, contacts.</w:t>
      </w:r>
    </w:p>
    <w:p>
      <w:pPr>
        <w:pStyle w:val="ListParagraph"/>
        <w:numPr>
          <w:ilvl w:val="0"/>
          <w:numId w:val="2"/>
        </w:numPr>
        <w:spacing w:after="60"/>
      </w:pPr>
      <w:r>
        <w:t xml:space="preserve">Rescue-at-height plan and equipment for mast climber/BMU/MEWP entrapment; trained rescuers on shift.</w:t>
      </w:r>
    </w:p>
    <w:p>
      <w:pPr>
        <w:pStyle w:val="ListParagraph"/>
        <w:numPr>
          <w:ilvl w:val="0"/>
          <w:numId w:val="2"/>
        </w:numPr>
        <w:spacing w:after="60"/>
      </w:pPr>
      <w:r>
        <w:t xml:space="preserve">First-aiders and fire wardens identified per shift; firefighting equipment at hot-work and storage areas.</w:t>
      </w:r>
    </w:p>
    <w:p>
      <w:pPr>
        <w:pStyle w:val="ListParagraph"/>
        <w:numPr>
          <w:ilvl w:val="0"/>
          <w:numId w:val="2"/>
        </w:numPr>
        <w:spacing w:after="60"/>
      </w:pPr>
      <w:r>
        <w:t xml:space="preserve">Emergency contact list and route to nearest hospital displayed and briefed.</w:t>
      </w:r>
    </w:p>
    <w:p>
      <w:pPr>
        <w:pStyle w:val="Heading1"/>
      </w:pPr>
      <w:r>
        <w:t xml:space="preserve">15. Environmental Management</w:t>
      </w:r>
    </w:p>
    <w:p>
      <w:pPr>
        <w:pStyle w:val="ListParagraph"/>
        <w:numPr>
          <w:ilvl w:val="0"/>
          <w:numId w:val="2"/>
        </w:numPr>
        <w:spacing w:after="60"/>
      </w:pPr>
      <w:r>
        <w:t xml:space="preserve">COSHH-assessed storage and use of sealants, solvents and primers; SDS available at point of use.</w:t>
      </w:r>
    </w:p>
    <w:p>
      <w:pPr>
        <w:pStyle w:val="ListParagraph"/>
        <w:numPr>
          <w:ilvl w:val="0"/>
          <w:numId w:val="2"/>
        </w:numPr>
        <w:spacing w:after="60"/>
      </w:pPr>
      <w:r>
        <w:t xml:space="preserve">Spill kits at storage and application areas; bunding where required; correct waste segregation &amp; disposal.</w:t>
      </w:r>
    </w:p>
    <w:p>
      <w:pPr>
        <w:pStyle w:val="ListParagraph"/>
        <w:numPr>
          <w:ilvl w:val="0"/>
          <w:numId w:val="2"/>
        </w:numPr>
        <w:spacing w:after="60"/>
      </w:pPr>
      <w:r>
        <w:t xml:space="preserve">Dust, noise and working-hours controls per permit; protect drains and surroundings.</w:t>
      </w:r>
    </w:p>
    <w:p>
      <w:pPr>
        <w:pStyle w:val="Heading1"/>
      </w:pPr>
      <w:r>
        <w:t xml:space="preserve">16. Welfare</w:t>
      </w:r>
    </w:p>
    <w:p>
      <w:pPr>
        <w:spacing w:after="120" w:line="276"/>
      </w:pPr>
      <w:r>
        <w:t xml:space="preserve">Adequate welfare provided/coordinated with the Main Contractor: toilets, washing, drinking water, rest and shaded areas, and heat-stress management appropriate to the climate and working hours.</w:t>
      </w:r>
    </w:p>
    <w:p>
      <w:r>
        <w:br w:type="page"/>
      </w:r>
    </w:p>
    <w:p>
      <w:pPr>
        <w:pStyle w:val="Heading1"/>
      </w:pPr>
      <w:r>
        <w:t xml:space="preserve">Part B — Task-Specific RAMS Register</w:t>
      </w:r>
    </w:p>
    <w:p>
      <w:pPr>
        <w:spacing w:after="120" w:line="276"/>
      </w:pPr>
      <w:r>
        <w:t xml:space="preserve">The following task-specific RAMS cover the critical façade activities. Each must be briefed and signed before the activity starts.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rPr>
          <w:tblHeader/>
        </w:trPr>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RAMS</w:t>
            </w:r>
          </w:p>
        </w:tc>
        <w:tc>
          <w:tcPr>
            <w:tcW w:type="dxa" w:w="7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Activity</w:t>
            </w:r>
          </w:p>
        </w:tc>
      </w:tr>
      <w:tr>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RAMS-01</w:t>
            </w:r>
          </w:p>
        </w:tc>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Stick curtain wall installation at height (mast climber)</w:t>
            </w:r>
          </w:p>
        </w:tc>
      </w:tr>
      <w:tr>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RAMS-02</w:t>
            </w:r>
          </w:p>
        </w:tc>
        <w:tc>
          <w:tcPr>
            <w:tcW w:type="dxa" w:w="7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Glass &amp; panel handling and installation (mechanical/vacuum lifters)</w:t>
            </w:r>
          </w:p>
        </w:tc>
      </w:tr>
      <w:tr>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RAMS-03</w:t>
            </w:r>
          </w:p>
        </w:tc>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Lifting operations &amp; material hoisting (crane/hoist)</w:t>
            </w:r>
          </w:p>
        </w:tc>
      </w:tr>
      <w:tr>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RAMS-04</w:t>
            </w:r>
          </w:p>
        </w:tc>
        <w:tc>
          <w:tcPr>
            <w:tcW w:type="dxa" w:w="7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Mast climber / BMU operation</w:t>
            </w:r>
          </w:p>
        </w:tc>
      </w:tr>
      <w:tr>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RAMS-05</w:t>
            </w:r>
          </w:p>
        </w:tc>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Glass balustrade installation at exposed edges</w:t>
            </w:r>
          </w:p>
        </w:tc>
      </w:tr>
      <w:tr>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RAMS-06</w:t>
            </w:r>
          </w:p>
        </w:tc>
        <w:tc>
          <w:tcPr>
            <w:tcW w:type="dxa" w:w="7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Sealant &amp; coating application (COSHH)</w:t>
            </w:r>
          </w:p>
        </w:tc>
      </w:tr>
      <w:tr>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RAMS-07</w:t>
            </w:r>
          </w:p>
        </w:tc>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Roof crown louver installation (roof work at height)</w:t>
            </w:r>
          </w:p>
        </w:tc>
      </w:tr>
    </w:tbl>
    <w:p>
      <w:r>
        <w:br w:type="page"/>
      </w:r>
    </w:p>
    <w:p>
      <w:pPr>
        <w:pStyle w:val="Heading1"/>
      </w:pPr>
      <w:r>
        <w:t xml:space="preserve">Acknowledgement &amp; Briefing</w:t>
      </w:r>
    </w:p>
    <w:p>
      <w:pPr>
        <w:spacing w:after="120" w:line="276"/>
      </w:pPr>
      <w:r>
        <w:t xml:space="preserve">All personnel undertaking the above activities must be briefed on the relevant RAMS and sign the RAMS briefing register before starting work.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2226"/>
        <w:gridCol w:w="1300"/>
        <w:gridCol w:w="1600"/>
        <w:gridCol w:w="1600"/>
      </w:tblGrid>
      <w:tr>
        <w:trPr>
          <w:tblHeader/>
        </w:trPr>
        <w:tc>
          <w:tcPr>
            <w:tcW w:type="dxa" w:w="23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Name</w:t>
            </w:r>
          </w:p>
        </w:tc>
        <w:tc>
          <w:tcPr>
            <w:tcW w:type="dxa" w:w="22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Company / trade</w:t>
            </w:r>
          </w:p>
        </w:tc>
        <w:tc>
          <w:tcPr>
            <w:tcW w:type="dxa" w:w="13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RAMS no.</w:t>
            </w:r>
          </w:p>
        </w:tc>
        <w:tc>
          <w:tcPr>
            <w:tcW w:type="dxa" w:w="1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Signature</w:t>
            </w:r>
          </w:p>
        </w:tc>
        <w:tc>
          <w:tcPr>
            <w:tcW w:type="dxa" w:w="1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Date</w:t>
            </w:r>
          </w:p>
        </w:tc>
      </w:tr>
      <w:tr>
        <w:tc>
          <w:tcPr>
            <w:tcW w:type="dxa" w:w="2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3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2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3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3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2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3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tabs>
        <w:tab w:val="right" w:pos="9026"/>
      </w:tabs>
    </w:pPr>
    <w:r>
      <w:rPr>
        <w:color w:val="808080"/>
        <w:sz w:val="16"/>
        <w:szCs w:val="16"/>
      </w:rPr>
      <w:t xml:space="preserve">[Façade Contractor] — Confidential</w:t>
    </w:r>
    <w:r>
      <w:rPr>
        <w:color w:val="808080"/>
        <w:sz w:val="16"/>
        <w:szCs w:val="16"/>
      </w:rPr>
      <w:t xml:space="preserve">	Page </w:t>
    </w:r>
    <w:r>
      <w:rPr>
        <w:color w:val="808080"/>
        <w:sz w:val="16"/>
        <w:szCs w:val="16"/>
      </w:rPr>
      <w:fldChar w:fldCharType="begin"/>
      <w:instrText xml:space="preserve">PAGE</w:instrText>
      <w:fldChar w:fldCharType="separate"/>
      <w:fldChar w:fldCharType="end"/>
    </w:r>
    <w:r>
      <w:rPr>
        <w:color w:val="808080"/>
        <w:sz w:val="16"/>
        <w:szCs w:val="16"/>
      </w:rPr>
      <w:t xml:space="preserve"> of </w:t>
    </w:r>
    <w:r>
      <w:rPr>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pPr>
    <w:r>
      <w:rPr>
        <w:color w:val="808080"/>
        <w:sz w:val="16"/>
        <w:szCs w:val="16"/>
      </w:rPr>
      <w:t xml:space="preserve">[PROJECT NAME] — Twin Towers Façade Package</w:t>
    </w:r>
    <w:r>
      <w:rPr>
        <w:color w:val="808080"/>
        <w:sz w:val="16"/>
        <w:szCs w:val="16"/>
      </w:rPr>
      <w:t xml:space="preserve">	HSE Plan &amp; Task-Specific 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lvl w:ilvl="1" w15:tentative="1">
      <w:start w:val="1"/>
      <w:numFmt w:val="bullet"/>
      <w:lvlText w:val="–"/>
      <w:lvlJc w:val="left"/>
      <w:pPr>
        <w:ind w:left="920" w:hanging="260"/>
      </w:pPr>
    </w:lvl>
  </w:abstractNum>
  <w:abstractNum w:abstractNumId="3" w15:restartNumberingAfterBreak="0">
    <w:multiLevelType w:val="hybridMultilevel"/>
    <w:lvl w:ilvl="0" w15:tentative="1">
      <w:start w:val="1"/>
      <w:numFmt w:val="decimal"/>
      <w:lvlText w:val="%1."/>
      <w:lvlJc w:val="left"/>
      <w:pPr>
        <w:ind w:left="460" w:hanging="260"/>
      </w:pPr>
    </w:lvl>
    <w:lvl w:ilvl="1" w15:tentative="1">
      <w:start w:val="1"/>
      <w:numFmt w:val="lowerLetter"/>
      <w:lvlText w:val="%2)"/>
      <w:lvlJc w:val="left"/>
      <w:pPr>
        <w:ind w:left="9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D9E2F3" w:sz="4" w:space="4"/>
      </w:pBdr>
      <w:spacing w:after="160" w:before="300"/>
      <w:outlineLvl w:val="0"/>
    </w:pPr>
    <w:rPr>
      <w:rFonts w:ascii="Arial" w:cs="Arial" w:eastAsia="Arial" w:hAnsi="Arial"/>
      <w:b/>
      <w:bCs/>
      <w:color w:val="1F3864"/>
      <w:sz w:val="30"/>
      <w:szCs w:val="30"/>
    </w:rPr>
  </w:style>
  <w:style w:type="paragraph" w:styleId="Heading2">
    <w:name w:val="Heading 2"/>
    <w:basedOn w:val="Normal"/>
    <w:next w:val="Normal"/>
    <w:qFormat/>
    <w:pPr>
      <w:spacing w:after="120" w:before="220"/>
      <w:outlineLvl w:val="1"/>
    </w:pPr>
    <w:rPr>
      <w:rFonts w:ascii="Arial" w:cs="Arial" w:eastAsia="Arial" w:hAnsi="Arial"/>
      <w:b/>
      <w:bCs/>
      <w:color w:val="2E5496"/>
      <w:sz w:val="25"/>
      <w:szCs w:val="25"/>
    </w:rPr>
  </w:style>
  <w:style w:type="paragraph" w:styleId="Heading3">
    <w:name w:val="Heading 3"/>
    <w:basedOn w:val="Normal"/>
    <w:next w:val="Normal"/>
    <w:qFormat/>
    <w:pPr>
      <w:spacing w:after="80" w:before="160"/>
      <w:outlineLvl w:val="2"/>
    </w:pPr>
    <w:rPr>
      <w:rFonts w:ascii="Arial" w:cs="Arial" w:eastAsia="Arial" w:hAnsi="Arial"/>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 Plan &amp; Task-Specific RAMS</dc:title>
  <dc:creator>[Façade Contractor]</dc:creator>
  <cp:lastModifiedBy>Un-named</cp:lastModifiedBy>
  <cp:revision>1</cp:revision>
  <dcterms:created xsi:type="dcterms:W3CDTF">2026-06-28T16:53:00.690Z</dcterms:created>
  <dcterms:modified xsi:type="dcterms:W3CDTF">2026-06-28T16:53:00.690Z</dcterms:modified>
</cp:coreProperties>
</file>

<file path=docProps/custom.xml><?xml version="1.0" encoding="utf-8"?>
<Properties xmlns="http://schemas.openxmlformats.org/officeDocument/2006/custom-properties" xmlns:vt="http://schemas.openxmlformats.org/officeDocument/2006/docPropsVTypes"/>
</file>