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Bdr>
          <w:bottom w:val="single" w:color="2E5496" w:sz="12" w:space="8"/>
        </w:pBdr>
        <w:spacing w:after="0" w:before="1200"/>
        <w:jc w:val="center"/>
      </w:pPr>
      <w:r>
        <w:rPr>
          <w:b/>
          <w:bCs/>
          <w:color w:val="1F3864"/>
          <w:sz w:val="30"/>
          <w:szCs w:val="30"/>
        </w:rPr>
        <w:t xml:space="preserve">[PROJECT NAME] — Twin Towers Façade Package</w:t>
      </w:r>
    </w:p>
    <w:p>
      <w:pPr>
        <w:spacing w:after="120" w:before="480"/>
        <w:jc w:val="center"/>
      </w:pPr>
      <w:r>
        <w:rPr>
          <w:b/>
          <w:bCs/>
          <w:color w:val="2E5496"/>
          <w:sz w:val="56"/>
          <w:szCs w:val="56"/>
        </w:rPr>
        <w:t xml:space="preserve">Project Execution Plan (PEP)</w:t>
      </w:r>
    </w:p>
    <w:p>
      <w:pPr>
        <w:spacing w:after="600"/>
        <w:jc w:val="center"/>
      </w:pPr>
      <w:r>
        <w:rPr>
          <w:color w:val="595959"/>
          <w:sz w:val="26"/>
          <w:szCs w:val="26"/>
        </w:rPr>
        <w:t xml:space="preserve">How the project will be planned, executed, monitored &amp; controlled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Document title</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Project Execution Plan</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Project</w:t>
            </w:r>
          </w:p>
        </w:tc>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Tower 1 (51 floors) &amp; Tower 3 (57 floors)</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Document no. / Rev</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[PRJ]-PEP-001 / Rev 0</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Date</w:t>
            </w:r>
          </w:p>
        </w:tc>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[DD-MMM-YYYY]</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Prepared by (PM)</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Approved by (Sponsor)</w:t>
            </w:r>
          </w:p>
        </w:tc>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[Name]</w:t>
            </w:r>
          </w:p>
        </w:tc>
      </w:tr>
    </w:tbl>
    <w:p>
      <w:pPr>
        <w:spacing w:before="360"/>
        <w:jc w:val="center"/>
      </w:pPr>
      <w:r>
        <w:rPr>
          <w:i/>
          <w:iCs/>
          <w:color w:val="808080"/>
          <w:sz w:val="18"/>
          <w:szCs w:val="18"/>
        </w:rPr>
        <w:t xml:space="preserve">TEMPLATE — replace all bracketed [ ] placeholders with project-specific information.</w:t>
      </w:r>
    </w:p>
    <w:p>
      <w:r>
        <w:br w:type="page"/>
      </w:r>
    </w:p>
    <w:p>
      <w:pPr>
        <w:pStyle w:val="Heading2"/>
      </w:pPr>
      <w: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500"/>
        <w:gridCol w:w="1700"/>
        <w:gridCol w:w="1700"/>
        <w:gridCol w:w="1700"/>
        <w:gridCol w:w="1726"/>
      </w:tblGrid>
      <w:tr>
        <w:trPr>
          <w:tblHeader/>
        </w:trPr>
        <w:tc>
          <w:tcPr>
            <w:tcW w:type="dxa" w:w="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Rev</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Date</w:t>
            </w:r>
          </w:p>
        </w:tc>
        <w:tc>
          <w:tcPr>
            <w:tcW w:type="dxa" w:w="1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Prepared by</w:t>
            </w:r>
          </w:p>
        </w:tc>
        <w:tc>
          <w:tcPr>
            <w:tcW w:type="dxa" w:w="1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Reviewed by</w:t>
            </w:r>
          </w:p>
        </w:tc>
        <w:tc>
          <w:tcPr>
            <w:tcW w:type="dxa" w:w="1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Approved by</w:t>
            </w:r>
          </w:p>
        </w:tc>
        <w:tc>
          <w:tcPr>
            <w:tcW w:type="dxa" w:w="17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Description</w:t>
            </w:r>
          </w:p>
        </w:tc>
      </w:tr>
      <w:tr>
        <w:tc>
          <w:tcPr>
            <w:tcW w:type="dxa" w:w="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0</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[DD-MMM-YYYY]</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c>
          <w:tcPr>
            <w:tcW w:type="dxa" w:w="17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Initial issue</w:t>
            </w:r>
          </w:p>
        </w:tc>
      </w:tr>
      <w:tr>
        <w:tc>
          <w:tcPr>
            <w:tcW w:type="dxa" w:w="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7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r>
    </w:tbl>
    <w:p>
      <w:r>
        <w:t xml:space="preserve"/>
      </w:r>
    </w:p>
    <w:p>
      <w:pPr>
        <w:pStyle w:val="Heading1"/>
      </w:pPr>
      <w:r>
        <w:t xml:space="preserve">1. Introduction</w:t>
      </w:r>
    </w:p>
    <w:p>
      <w:pPr>
        <w:spacing w:after="120" w:line="276"/>
      </w:pPr>
      <w:r>
        <w:t xml:space="preserve">This Project Execution Plan (PEP) defines how the Façade Package will be planned, executed, monitored, controlled and closed out. It is the master management document for the project and references the Charter, the Scope Statement, the project programme, and the control registers and forms (Excel control packs). It applies to all project team members, suppliers and subcontractors and is reviewed and updated at each major stage or when significant change occurs.</w:t>
      </w:r>
    </w:p>
    <w:p>
      <w:pPr>
        <w:pStyle w:val="Heading2"/>
      </w:pPr>
      <w:r>
        <w:t xml:space="preserve">1.1 Project objectives (control targets)</w:t>
      </w:r>
    </w:p>
    <w:p>
      <w:pPr>
        <w:pStyle w:val="ListParagraph"/>
        <w:numPr>
          <w:ilvl w:val="0"/>
          <w:numId w:val="2"/>
        </w:numPr>
        <w:spacing w:after="60"/>
      </w:pPr>
      <w:r>
        <w:t xml:space="preserve">Schedule: meet all milestones; complete installation by Dec 2027 with no façade-chargeable critical-path slip.</w:t>
      </w:r>
    </w:p>
    <w:p>
      <w:pPr>
        <w:pStyle w:val="ListParagraph"/>
        <w:numPr>
          <w:ilvl w:val="0"/>
          <w:numId w:val="2"/>
        </w:numPr>
        <w:spacing w:after="60"/>
      </w:pPr>
      <w:r>
        <w:t xml:space="preserve">Cost: deliver within budget; CPI ≥ 1.0; protect target margin.</w:t>
      </w:r>
    </w:p>
    <w:p>
      <w:pPr>
        <w:pStyle w:val="ListParagraph"/>
        <w:numPr>
          <w:ilvl w:val="0"/>
          <w:numId w:val="2"/>
        </w:numPr>
        <w:spacing w:after="60"/>
      </w:pPr>
      <w:r>
        <w:t xml:space="preserve">Quality: pass mock-up first time; ≥ 98% first-time inspection acceptance; zero critical NCRs at handover.</w:t>
      </w:r>
    </w:p>
    <w:p>
      <w:pPr>
        <w:pStyle w:val="ListParagraph"/>
        <w:numPr>
          <w:ilvl w:val="0"/>
          <w:numId w:val="2"/>
        </w:numPr>
        <w:spacing w:after="60"/>
      </w:pPr>
      <w:r>
        <w:t xml:space="preserve">HSE: zero lost-time incidents; full RAMS/permit compliance for work at height.</w:t>
      </w:r>
    </w:p>
    <w:p>
      <w:pPr>
        <w:pStyle w:val="ListParagraph"/>
        <w:numPr>
          <w:ilvl w:val="0"/>
          <w:numId w:val="2"/>
        </w:numPr>
        <w:spacing w:after="60"/>
      </w:pPr>
      <w:r>
        <w:t xml:space="preserve">Scope: deliver 100% of contracted quantities; all change formally controlled.</w:t>
      </w:r>
    </w:p>
    <w:p>
      <w:pPr>
        <w:pStyle w:val="Heading1"/>
      </w:pPr>
      <w:r>
        <w:t xml:space="preserve">2. Project Organisation &amp; Responsibilities</w:t>
      </w:r>
    </w:p>
    <w:p>
      <w:pPr>
        <w:spacing w:after="120" w:line="276"/>
      </w:pPr>
      <w:r>
        <w:t xml:space="preserve">The project is led by the Project Manager, supported by functional leads. A summary responsibility (RACI) matrix is below; R = Responsible, A = Accountable, C = Consulted, I = Informed. A detailed RACI is maintained as a controlled register.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26"/>
        <w:gridCol w:w="800"/>
        <w:gridCol w:w="800"/>
        <w:gridCol w:w="800"/>
        <w:gridCol w:w="800"/>
        <w:gridCol w:w="900"/>
        <w:gridCol w:w="800"/>
        <w:gridCol w:w="800"/>
      </w:tblGrid>
      <w:tr>
        <w:trPr>
          <w:tblHeader/>
        </w:trPr>
        <w:tc>
          <w:tcPr>
            <w:tcW w:type="dxa" w:w="2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Activity</w:t>
            </w:r>
          </w:p>
        </w:tc>
        <w:tc>
          <w:tcPr>
            <w:tcW w:type="dxa" w:w="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PM</w:t>
            </w:r>
          </w:p>
        </w:tc>
        <w:tc>
          <w:tcPr>
            <w:tcW w:type="dxa" w:w="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Eng</w:t>
            </w:r>
          </w:p>
        </w:tc>
        <w:tc>
          <w:tcPr>
            <w:tcW w:type="dxa" w:w="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Proc</w:t>
            </w:r>
          </w:p>
        </w:tc>
        <w:tc>
          <w:tcPr>
            <w:tcW w:type="dxa" w:w="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Site</w:t>
            </w:r>
          </w:p>
        </w:tc>
        <w:tc>
          <w:tcPr>
            <w:tcW w:type="dxa" w:w="9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QA/QC</w:t>
            </w:r>
          </w:p>
        </w:tc>
        <w:tc>
          <w:tcPr>
            <w:tcW w:type="dxa" w:w="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HSE</w:t>
            </w:r>
          </w:p>
        </w:tc>
        <w:tc>
          <w:tcPr>
            <w:tcW w:type="dxa" w:w="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center"/>
            </w:pPr>
            <w:r>
              <w:rPr>
                <w:b/>
                <w:bCs/>
                <w:color w:val="FFFFFF"/>
                <w:sz w:val="20"/>
                <w:szCs w:val="20"/>
              </w:rPr>
              <w:t xml:space="preserve">Comm</w:t>
            </w:r>
          </w:p>
        </w:tc>
      </w:tr>
      <w:tr>
        <w:tc>
          <w:tcPr>
            <w:tcW w:type="dxa" w:w="2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Programme &amp; controls</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A</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R</w:t>
            </w:r>
          </w:p>
        </w:tc>
      </w:tr>
      <w:tr>
        <w:tc>
          <w:tcPr>
            <w:tcW w:type="dxa" w:w="2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Engineering &amp; approvals</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A</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R</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9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r>
      <w:tr>
        <w:tc>
          <w:tcPr>
            <w:tcW w:type="dxa" w:w="2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Mock-up &amp; testing</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A</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R</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R</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r>
      <w:tr>
        <w:tc>
          <w:tcPr>
            <w:tcW w:type="dxa" w:w="2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Procurement &amp; fabrication</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A</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R</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9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C</w:t>
            </w:r>
          </w:p>
        </w:tc>
      </w:tr>
      <w:tr>
        <w:tc>
          <w:tcPr>
            <w:tcW w:type="dxa" w:w="2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Installation</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A</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R</w:t>
            </w:r>
          </w:p>
        </w:tc>
        <w:tc>
          <w:tcPr>
            <w:tcW w:type="dxa" w:w="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r>
      <w:tr>
        <w:tc>
          <w:tcPr>
            <w:tcW w:type="dxa" w:w="2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Quality / ITP / NCR</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A</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9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R</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r>
      <w:tr>
        <w:tc>
          <w:tcPr>
            <w:tcW w:type="dxa" w:w="2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HSE</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A</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R</w:t>
            </w:r>
          </w:p>
        </w:tc>
        <w:tc>
          <w:tcPr>
            <w:tcW w:type="dxa" w:w="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center"/>
            </w:pPr>
            <w:r>
              <w:rPr>
                <w:b w:val="false"/>
                <w:bCs w:val="false"/>
                <w:color w:val="000000"/>
                <w:sz w:val="20"/>
                <w:szCs w:val="20"/>
              </w:rPr>
              <w:t xml:space="preserve">I</w:t>
            </w:r>
          </w:p>
        </w:tc>
      </w:tr>
      <w:tr>
        <w:tc>
          <w:tcPr>
            <w:tcW w:type="dxa" w:w="2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Payments &amp; variations</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A</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C</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9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I</w:t>
            </w:r>
          </w:p>
        </w:tc>
        <w:tc>
          <w:tcPr>
            <w:tcW w:type="dxa" w:w="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center"/>
            </w:pPr>
            <w:r>
              <w:rPr>
                <w:b w:val="false"/>
                <w:bCs w:val="false"/>
                <w:color w:val="000000"/>
                <w:sz w:val="20"/>
                <w:szCs w:val="20"/>
              </w:rPr>
              <w:t xml:space="preserve">R</w:t>
            </w:r>
          </w:p>
        </w:tc>
      </w:tr>
    </w:tbl>
    <w:p>
      <w:r>
        <w:br w:type="page"/>
      </w:r>
    </w:p>
    <w:p>
      <w:pPr>
        <w:pStyle w:val="Heading1"/>
      </w:pPr>
      <w:r>
        <w:t xml:space="preserve">3. Project Life-Cycle &amp; Step-by-Step Control</w:t>
      </w:r>
    </w:p>
    <w:p>
      <w:pPr>
        <w:spacing w:after="120" w:line="276"/>
      </w:pPr>
      <w:r>
        <w:t xml:space="preserve">The project is controlled through five stages. Each stage has defined inputs, activities and gate outputs.</w:t>
      </w:r>
    </w:p>
    <w:p>
      <w:pPr>
        <w:pStyle w:val="Heading2"/>
      </w:pPr>
      <w:r>
        <w:t xml:space="preserve">3.1 Initiation / Mobilisation (Apr 2026)</w:t>
      </w:r>
    </w:p>
    <w:p>
      <w:pPr>
        <w:pStyle w:val="ListParagraph"/>
        <w:numPr>
          <w:ilvl w:val="0"/>
          <w:numId w:val="2"/>
        </w:numPr>
        <w:spacing w:after="60"/>
      </w:pPr>
      <w:r>
        <w:t xml:space="preserve">Review contract &amp; subcontract in detail — scope, payment, LDs, retention, programme obligations, interfaces and “by others”.</w:t>
      </w:r>
    </w:p>
    <w:p>
      <w:pPr>
        <w:pStyle w:val="ListParagraph"/>
        <w:numPr>
          <w:ilvl w:val="0"/>
          <w:numId w:val="2"/>
        </w:numPr>
        <w:spacing w:after="60"/>
      </w:pPr>
      <w:r>
        <w:t xml:space="preserve">Issue Charter, Scope Statement and this PEP; appoint team; publish org chart and RACI.</w:t>
      </w:r>
    </w:p>
    <w:p>
      <w:pPr>
        <w:pStyle w:val="ListParagraph"/>
        <w:numPr>
          <w:ilvl w:val="0"/>
          <w:numId w:val="2"/>
        </w:numPr>
        <w:spacing w:after="60"/>
      </w:pPr>
      <w:r>
        <w:t xml:space="preserve">Kick-off with Main Contractor — confirm interfaces, tolerances, datum, document approval SLA, and reporting requirements.</w:t>
      </w:r>
    </w:p>
    <w:p>
      <w:pPr>
        <w:pStyle w:val="ListParagraph"/>
        <w:numPr>
          <w:ilvl w:val="0"/>
          <w:numId w:val="2"/>
        </w:numPr>
        <w:spacing w:after="60"/>
      </w:pPr>
      <w:r>
        <w:t xml:space="preserve">Establish document control, cost codes, registers, and the project filing structure.</w:t>
      </w:r>
    </w:p>
    <w:p>
      <w:pPr>
        <w:pStyle w:val="Heading2"/>
      </w:pPr>
      <w:r>
        <w:t xml:space="preserve">3.2 Planning / Baseline</w:t>
      </w:r>
    </w:p>
    <w:p>
      <w:pPr>
        <w:pStyle w:val="ListParagraph"/>
        <w:numPr>
          <w:ilvl w:val="0"/>
          <w:numId w:val="2"/>
        </w:numPr>
        <w:spacing w:after="60"/>
      </w:pPr>
      <w:r>
        <w:t xml:space="preserve">Develop the WBS and the Level 3/4 programme (P6 / MS Project) tied to all milestones; identify the critical path (engineering → mock-up → procurement → install).</w:t>
      </w:r>
    </w:p>
    <w:p>
      <w:pPr>
        <w:pStyle w:val="ListParagraph"/>
        <w:numPr>
          <w:ilvl w:val="0"/>
          <w:numId w:val="2"/>
        </w:numPr>
        <w:spacing w:after="60"/>
      </w:pPr>
      <w:r>
        <w:t xml:space="preserve">Baseline the cost budget by cost code; build the procurement schedule by back-scheduling from delivery dates using lead times.</w:t>
      </w:r>
    </w:p>
    <w:p>
      <w:pPr>
        <w:pStyle w:val="ListParagraph"/>
        <w:numPr>
          <w:ilvl w:val="0"/>
          <w:numId w:val="2"/>
        </w:numPr>
        <w:spacing w:after="60"/>
      </w:pPr>
      <w:r>
        <w:t xml:space="preserve">Produce the Quality Plan, ITPs, HSE Plan, RAMS, logistics plan and communication plan.</w:t>
      </w:r>
    </w:p>
    <w:p>
      <w:pPr>
        <w:pStyle w:val="ListParagraph"/>
        <w:numPr>
          <w:ilvl w:val="0"/>
          <w:numId w:val="2"/>
        </w:numPr>
        <w:spacing w:after="60"/>
      </w:pPr>
      <w:r>
        <w:t xml:space="preserve">Set the performance-measurement baseline (PMB) and the planned-value S-curve.</w:t>
      </w:r>
    </w:p>
    <w:p>
      <w:pPr>
        <w:pStyle w:val="Heading2"/>
      </w:pPr>
      <w:r>
        <w:t xml:space="preserve">3.3 Execution</w:t>
      </w:r>
    </w:p>
    <w:p>
      <w:pPr>
        <w:pStyle w:val="ListParagraph"/>
        <w:numPr>
          <w:ilvl w:val="0"/>
          <w:numId w:val="2"/>
        </w:numPr>
        <w:spacing w:after="60"/>
      </w:pPr>
      <w:r>
        <w:t xml:space="preserve">Deliver engineering, mock-up, procurement, fabrication and installation per the baseline.</w:t>
      </w:r>
    </w:p>
    <w:p>
      <w:pPr>
        <w:pStyle w:val="ListParagraph"/>
        <w:numPr>
          <w:ilvl w:val="0"/>
          <w:numId w:val="2"/>
        </w:numPr>
        <w:spacing w:after="60"/>
      </w:pPr>
      <w:r>
        <w:t xml:space="preserve">Operate the weekly/monthly control rhythm (Section 13) and maintain all live registers.</w:t>
      </w:r>
    </w:p>
    <w:p>
      <w:pPr>
        <w:pStyle w:val="ListParagraph"/>
        <w:numPr>
          <w:ilvl w:val="0"/>
          <w:numId w:val="2"/>
        </w:numPr>
        <w:spacing w:after="60"/>
      </w:pPr>
      <w:r>
        <w:t xml:space="preserve">Manage interfaces, RFIs, submittals, materials and site productivity.</w:t>
      </w:r>
    </w:p>
    <w:p>
      <w:pPr>
        <w:pStyle w:val="Heading2"/>
      </w:pPr>
      <w:r>
        <w:t xml:space="preserve">3.4 Monitoring &amp; Control (continuous)</w:t>
      </w:r>
    </w:p>
    <w:p>
      <w:pPr>
        <w:spacing w:after="120" w:line="276"/>
      </w:pPr>
      <w:r>
        <w:t xml:space="preserve">The control loop is run every reporting cycle: plan → measure actuals → compare to baseline → analyse variance → decide corrective action → update forecast → communicate. Earned Value Management (EVM) is the primary measure — Planned Value (PV), Earned Value (EV) and Actual Cost (AC) give SPI and CPI and an Estimate at Completion (EAC). Until installation ramps up, engineering and procurement progress (drawings approved, POs placed, materials delivered) ARE the measured progress and are tracked just as rigorously.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0"/>
        <w:gridCol w:w="2826"/>
        <w:gridCol w:w="2400"/>
      </w:tblGrid>
      <w:tr>
        <w:trPr>
          <w:tblHeader/>
        </w:trPr>
        <w:tc>
          <w:tcPr>
            <w:tcW w:type="dxa" w:w="3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Metric</w:t>
            </w:r>
          </w:p>
        </w:tc>
        <w:tc>
          <w:tcPr>
            <w:tcW w:type="dxa" w:w="28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Formula</w:t>
            </w:r>
          </w:p>
        </w:tc>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Healthy</w:t>
            </w:r>
          </w:p>
        </w:tc>
      </w:tr>
      <w:tr>
        <w:tc>
          <w:tcPr>
            <w:tcW w:type="dxa" w:w="3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Schedule Performance Index (SPI)</w:t>
            </w:r>
          </w:p>
        </w:tc>
        <w:tc>
          <w:tcPr>
            <w:tcW w:type="dxa" w:w="2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EV ÷ PV</w:t>
            </w:r>
          </w:p>
        </w:tc>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1.00</w:t>
            </w:r>
          </w:p>
        </w:tc>
      </w:tr>
      <w:tr>
        <w:tc>
          <w:tcPr>
            <w:tcW w:type="dxa" w:w="3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Cost Performance Index (CPI)</w:t>
            </w:r>
          </w:p>
        </w:tc>
        <w:tc>
          <w:tcPr>
            <w:tcW w:type="dxa" w:w="2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EV ÷ AC</w:t>
            </w:r>
          </w:p>
        </w:tc>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1.00</w:t>
            </w:r>
          </w:p>
        </w:tc>
      </w:tr>
      <w:tr>
        <w:tc>
          <w:tcPr>
            <w:tcW w:type="dxa" w:w="3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Schedule Variance (SV)</w:t>
            </w:r>
          </w:p>
        </w:tc>
        <w:tc>
          <w:tcPr>
            <w:tcW w:type="dxa" w:w="2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EV − PV</w:t>
            </w:r>
          </w:p>
        </w:tc>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0</w:t>
            </w:r>
          </w:p>
        </w:tc>
      </w:tr>
      <w:tr>
        <w:tc>
          <w:tcPr>
            <w:tcW w:type="dxa" w:w="3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Cost Variance (CV)</w:t>
            </w:r>
          </w:p>
        </w:tc>
        <w:tc>
          <w:tcPr>
            <w:tcW w:type="dxa" w:w="2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EV − AC</w:t>
            </w:r>
          </w:p>
        </w:tc>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0</w:t>
            </w:r>
          </w:p>
        </w:tc>
      </w:tr>
      <w:tr>
        <w:tc>
          <w:tcPr>
            <w:tcW w:type="dxa" w:w="3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Estimate at Completion (EAC)</w:t>
            </w:r>
          </w:p>
        </w:tc>
        <w:tc>
          <w:tcPr>
            <w:tcW w:type="dxa" w:w="2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Budget ÷ CPI</w:t>
            </w:r>
          </w:p>
        </w:tc>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Budget</w:t>
            </w:r>
          </w:p>
        </w:tc>
      </w:tr>
    </w:tbl>
    <w:p>
      <w:pPr>
        <w:pStyle w:val="Heading2"/>
      </w:pPr>
      <w:r>
        <w:t xml:space="preserve">3.5 Closeout</w:t>
      </w:r>
    </w:p>
    <w:p>
      <w:pPr>
        <w:pStyle w:val="ListParagraph"/>
        <w:numPr>
          <w:ilvl w:val="0"/>
          <w:numId w:val="2"/>
        </w:numPr>
        <w:spacing w:after="60"/>
      </w:pPr>
      <w:r>
        <w:t xml:space="preserve">Zone-by-zone snagging/punch and defect close-out; performance test sign-offs.</w:t>
      </w:r>
    </w:p>
    <w:p>
      <w:pPr>
        <w:pStyle w:val="ListParagraph"/>
        <w:numPr>
          <w:ilvl w:val="0"/>
          <w:numId w:val="2"/>
        </w:numPr>
        <w:spacing w:after="60"/>
      </w:pPr>
      <w:r>
        <w:t xml:space="preserve">As-built drawings, O&amp;M manuals, warranties and guarantees compiled and accepted.</w:t>
      </w:r>
    </w:p>
    <w:p>
      <w:pPr>
        <w:pStyle w:val="ListParagraph"/>
        <w:numPr>
          <w:ilvl w:val="0"/>
          <w:numId w:val="2"/>
        </w:numPr>
        <w:spacing w:after="60"/>
      </w:pPr>
      <w:r>
        <w:t xml:space="preserve">Final account agreed; retention released; demobilisation; lessons-learned workshop and archive.</w:t>
      </w:r>
    </w:p>
    <w:p>
      <w:r>
        <w:br w:type="page"/>
      </w:r>
    </w:p>
    <w:p>
      <w:pPr>
        <w:pStyle w:val="Heading1"/>
      </w:pPr>
      <w:r>
        <w:t xml:space="preserve">4. Scope Management</w:t>
      </w:r>
    </w:p>
    <w:p>
      <w:pPr>
        <w:spacing w:after="120" w:line="276"/>
      </w:pPr>
      <w:r>
        <w:t xml:space="preserve">Scope is baselined in the Scope Statement. Work is only executed against approved scope. Any deviation is processed through the Variation/Change Register, assessed for time/cost impact and formally instructed before execution. Scope is verified against the acceptance criteria at each stage and confirmed quantities feed the progress and payment processes.</w:t>
      </w:r>
    </w:p>
    <w:p>
      <w:pPr>
        <w:pStyle w:val="Heading1"/>
      </w:pPr>
      <w:r>
        <w:t xml:space="preserve">5. Time / Schedule Management</w:t>
      </w:r>
    </w:p>
    <w:p>
      <w:pPr>
        <w:pStyle w:val="ListParagraph"/>
        <w:numPr>
          <w:ilvl w:val="0"/>
          <w:numId w:val="2"/>
        </w:numPr>
        <w:spacing w:after="60"/>
      </w:pPr>
      <w:r>
        <w:t xml:space="preserve">Baseline Level 3/4 programme in P6/MS Project; WBS by tower → zone → floor group → system.</w:t>
      </w:r>
    </w:p>
    <w:p>
      <w:pPr>
        <w:pStyle w:val="ListParagraph"/>
        <w:numPr>
          <w:ilvl w:val="0"/>
          <w:numId w:val="2"/>
        </w:numPr>
        <w:spacing w:after="60"/>
      </w:pPr>
      <w:r>
        <w:t xml:space="preserve">Critical-path and near-critical paths identified and monitored; total float tracked.</w:t>
      </w:r>
    </w:p>
    <w:p>
      <w:pPr>
        <w:pStyle w:val="ListParagraph"/>
        <w:numPr>
          <w:ilvl w:val="0"/>
          <w:numId w:val="2"/>
        </w:numPr>
        <w:spacing w:after="60"/>
      </w:pPr>
      <w:r>
        <w:t xml:space="preserve">Rolling two-week (and six-week) look-ahead drives short-term execution.</w:t>
      </w:r>
    </w:p>
    <w:p>
      <w:pPr>
        <w:pStyle w:val="ListParagraph"/>
        <w:numPr>
          <w:ilvl w:val="0"/>
          <w:numId w:val="2"/>
        </w:numPr>
        <w:spacing w:after="60"/>
      </w:pPr>
      <w:r>
        <w:t xml:space="preserve">Progress measured by installed quantity and milestone status; updated weekly into the S-curve.</w:t>
      </w:r>
    </w:p>
    <w:p>
      <w:pPr>
        <w:pStyle w:val="ListParagraph"/>
        <w:numPr>
          <w:ilvl w:val="0"/>
          <w:numId w:val="2"/>
        </w:numPr>
        <w:spacing w:after="60"/>
      </w:pPr>
      <w:r>
        <w:t xml:space="preserve">Delays and disruptions logged immediately; EOT entitlement notified within contractual timeframes.</w:t>
      </w:r>
    </w:p>
    <w:p>
      <w:pPr>
        <w:pStyle w:val="Heading1"/>
      </w:pPr>
      <w:r>
        <w:t xml:space="preserve">6. Cost Management</w:t>
      </w:r>
    </w:p>
    <w:p>
      <w:pPr>
        <w:pStyle w:val="ListParagraph"/>
        <w:numPr>
          <w:ilvl w:val="0"/>
          <w:numId w:val="2"/>
        </w:numPr>
        <w:spacing w:after="60"/>
      </w:pPr>
      <w:r>
        <w:t xml:space="preserve">Cost Breakdown Structure aligned to the WBS; budget by cost code (labour, material, plant, subcontract, prelims) per tower/system.</w:t>
      </w:r>
    </w:p>
    <w:p>
      <w:pPr>
        <w:pStyle w:val="ListParagraph"/>
        <w:numPr>
          <w:ilvl w:val="0"/>
          <w:numId w:val="2"/>
        </w:numPr>
        <w:spacing w:after="60"/>
      </w:pPr>
      <w:r>
        <w:t xml:space="preserve">Monthly cost report: budget vs committed vs actual vs earned; CV/CPI and cost-to-complete / EAC forecast.</w:t>
      </w:r>
    </w:p>
    <w:p>
      <w:pPr>
        <w:pStyle w:val="ListParagraph"/>
        <w:numPr>
          <w:ilvl w:val="0"/>
          <w:numId w:val="2"/>
        </w:numPr>
        <w:spacing w:after="60"/>
      </w:pPr>
      <w:r>
        <w:t xml:space="preserve">Commitments controlled via the procurement/PO process; no commitment without budget and authority.</w:t>
      </w:r>
    </w:p>
    <w:p>
      <w:pPr>
        <w:pStyle w:val="ListParagraph"/>
        <w:numPr>
          <w:ilvl w:val="0"/>
          <w:numId w:val="2"/>
        </w:numPr>
        <w:spacing w:after="60"/>
      </w:pPr>
      <w:r>
        <w:t xml:space="preserve">Cash-flow forecast maintained (cost and revenue) to manage working capital; front-loaded engineering/procurement spend modelled.</w:t>
      </w:r>
    </w:p>
    <w:p>
      <w:pPr>
        <w:pStyle w:val="ListParagraph"/>
        <w:numPr>
          <w:ilvl w:val="0"/>
          <w:numId w:val="2"/>
        </w:numPr>
        <w:spacing w:after="60"/>
      </w:pPr>
      <w:r>
        <w:t xml:space="preserve">Change captured commercially through variations; claims substantiated with records.</w:t>
      </w:r>
    </w:p>
    <w:p>
      <w:pPr>
        <w:pStyle w:val="Heading1"/>
      </w:pPr>
      <w:r>
        <w:t xml:space="preserve">7. Quality Management</w:t>
      </w:r>
    </w:p>
    <w:p>
      <w:pPr>
        <w:spacing w:after="120" w:line="276"/>
      </w:pPr>
      <w:r>
        <w:t xml:space="preserve">Quality is assured at source — each work stage is inspected and signed off before being covered by the next. The Quality Plan defines responsibilities, standards, the Inspection &amp; Test Plan (ITP) per system, hold/witness points, and the non-conformance process.</w:t>
      </w:r>
    </w:p>
    <w:p>
      <w:pPr>
        <w:pStyle w:val="ListParagraph"/>
        <w:numPr>
          <w:ilvl w:val="0"/>
          <w:numId w:val="2"/>
        </w:numPr>
        <w:spacing w:after="60"/>
      </w:pPr>
      <w:r>
        <w:t xml:space="preserve">ITP per system with hold points (survey, brackets, mullions/transoms, glass/panel, sealing) and witness points for the Consultant/MC.</w:t>
      </w:r>
    </w:p>
    <w:p>
      <w:pPr>
        <w:pStyle w:val="ListParagraph"/>
        <w:numPr>
          <w:ilvl w:val="0"/>
          <w:numId w:val="2"/>
        </w:numPr>
        <w:spacing w:after="60"/>
      </w:pPr>
      <w:r>
        <w:t xml:space="preserve">Inspection Requests (IR) raised ahead of each hold point; results logged; defects raised as NCRs, not silently fixed.</w:t>
      </w:r>
    </w:p>
    <w:p>
      <w:pPr>
        <w:pStyle w:val="ListParagraph"/>
        <w:numPr>
          <w:ilvl w:val="0"/>
          <w:numId w:val="2"/>
        </w:numPr>
        <w:spacing w:after="60"/>
      </w:pPr>
      <w:r>
        <w:t xml:space="preserve">Material quality: approved submittals, mill/test certificates, factory QA, delivery inspection.</w:t>
      </w:r>
    </w:p>
    <w:p>
      <w:pPr>
        <w:pStyle w:val="ListParagraph"/>
        <w:numPr>
          <w:ilvl w:val="0"/>
          <w:numId w:val="2"/>
        </w:numPr>
        <w:spacing w:after="60"/>
      </w:pPr>
      <w:r>
        <w:t xml:space="preserve">Mock-ups: VMU for aesthetics, PMU for performance (air, water, structural, movement) to specified standards — approval gates bulk fabrication.</w:t>
      </w:r>
    </w:p>
    <w:p>
      <w:pPr>
        <w:pStyle w:val="ListParagraph"/>
        <w:numPr>
          <w:ilvl w:val="0"/>
          <w:numId w:val="2"/>
        </w:numPr>
        <w:spacing w:after="60"/>
      </w:pPr>
      <w:r>
        <w:t xml:space="preserve">Field water testing and operational testing per programme; results retained.</w:t>
      </w:r>
    </w:p>
    <w:p>
      <w:pPr>
        <w:pStyle w:val="Heading1"/>
      </w:pPr>
      <w:r>
        <w:t xml:space="preserve">8. Health, Safety &amp; Environment (HSE)</w:t>
      </w:r>
    </w:p>
    <w:p>
      <w:pPr>
        <w:spacing w:after="120" w:line="276"/>
      </w:pPr>
      <w:r>
        <w:t xml:space="preserve">HSE is the first priority. Work at height, glass and panel handling, hoisting and working above occupied/public areas are the dominant risks. No work proceeds without an approved risk assessment and method statement (RAMS) and the required permits.</w:t>
      </w:r>
    </w:p>
    <w:p>
      <w:pPr>
        <w:pStyle w:val="ListParagraph"/>
        <w:numPr>
          <w:ilvl w:val="0"/>
          <w:numId w:val="2"/>
        </w:numPr>
        <w:spacing w:after="60"/>
      </w:pPr>
      <w:r>
        <w:t xml:space="preserve">Project HSE plan, task-specific RAMS, and permit-to-work for high-risk activities.</w:t>
      </w:r>
    </w:p>
    <w:p>
      <w:pPr>
        <w:pStyle w:val="ListParagraph"/>
        <w:numPr>
          <w:ilvl w:val="0"/>
          <w:numId w:val="2"/>
        </w:numPr>
        <w:spacing w:after="60"/>
      </w:pPr>
      <w:r>
        <w:t xml:space="preserve">100% fall protection / tie-off at height; exclusion zones and protection below lifting and glass works.</w:t>
      </w:r>
    </w:p>
    <w:p>
      <w:pPr>
        <w:pStyle w:val="ListParagraph"/>
        <w:numPr>
          <w:ilvl w:val="0"/>
          <w:numId w:val="2"/>
        </w:numPr>
        <w:spacing w:after="60"/>
      </w:pPr>
      <w:r>
        <w:t xml:space="preserve">Daily toolbox talks, induction for all personnel, competency/certification checks.</w:t>
      </w:r>
    </w:p>
    <w:p>
      <w:pPr>
        <w:pStyle w:val="ListParagraph"/>
        <w:numPr>
          <w:ilvl w:val="0"/>
          <w:numId w:val="2"/>
        </w:numPr>
        <w:spacing w:after="60"/>
      </w:pPr>
      <w:r>
        <w:t xml:space="preserve">Inspections, audits and incident reporting/investigation; environmental controls (waste, sealant/COSHH, dust, noise).</w:t>
      </w:r>
    </w:p>
    <w:p>
      <w:pPr>
        <w:pStyle w:val="ListParagraph"/>
        <w:numPr>
          <w:ilvl w:val="0"/>
          <w:numId w:val="2"/>
        </w:numPr>
        <w:spacing w:after="60"/>
      </w:pPr>
      <w:r>
        <w:t xml:space="preserve">Lifting plans for material hoisting; coordination with Main Contractor’s site rules.</w:t>
      </w:r>
    </w:p>
    <w:p>
      <w:r>
        <w:br w:type="page"/>
      </w:r>
    </w:p>
    <w:p>
      <w:pPr>
        <w:pStyle w:val="Heading1"/>
      </w:pPr>
      <w:r>
        <w:t xml:space="preserve">9. Procurement &amp; Materials Management</w:t>
      </w:r>
    </w:p>
    <w:p>
      <w:pPr>
        <w:pStyle w:val="ListParagraph"/>
        <w:numPr>
          <w:ilvl w:val="0"/>
          <w:numId w:val="2"/>
        </w:numPr>
        <w:spacing w:after="60"/>
      </w:pPr>
      <w:r>
        <w:t xml:space="preserve">Procurement schedule back-scheduled from installation dates using verified lead times (extrusions, glass, hardware, gaskets, sealants).</w:t>
      </w:r>
    </w:p>
    <w:p>
      <w:pPr>
        <w:pStyle w:val="ListParagraph"/>
        <w:numPr>
          <w:ilvl w:val="0"/>
          <w:numId w:val="2"/>
        </w:numPr>
        <w:spacing w:after="60"/>
      </w:pPr>
      <w:r>
        <w:t xml:space="preserve">Early ordering / price-lock for long-lead and commodity items; consider escalation clauses and alternate vendors.</w:t>
      </w:r>
    </w:p>
    <w:p>
      <w:pPr>
        <w:pStyle w:val="ListParagraph"/>
        <w:numPr>
          <w:ilvl w:val="0"/>
          <w:numId w:val="2"/>
        </w:numPr>
        <w:spacing w:after="60"/>
      </w:pPr>
      <w:r>
        <w:t xml:space="preserve">Vendor pre-qualification, POs against approved submittals, and expediting against the delivery tracker.</w:t>
      </w:r>
    </w:p>
    <w:p>
      <w:pPr>
        <w:pStyle w:val="ListParagraph"/>
        <w:numPr>
          <w:ilvl w:val="0"/>
          <w:numId w:val="2"/>
        </w:numPr>
        <w:spacing w:after="60"/>
      </w:pPr>
      <w:r>
        <w:t xml:space="preserve">Just-in-time delivery to suit limited high-rise storage; goods-inward inspection; controlled laydown.</w:t>
      </w:r>
    </w:p>
    <w:p>
      <w:pPr>
        <w:pStyle w:val="ListParagraph"/>
        <w:numPr>
          <w:ilvl w:val="0"/>
          <w:numId w:val="2"/>
        </w:numPr>
        <w:spacing w:after="60"/>
      </w:pPr>
      <w:r>
        <w:t xml:space="preserve">Material approval register links each delivery to its approved submittal and certificates.</w:t>
      </w:r>
    </w:p>
    <w:p>
      <w:pPr>
        <w:pStyle w:val="Heading1"/>
      </w:pPr>
      <w:r>
        <w:t xml:space="preserve">10. Document &amp; Information Management</w:t>
      </w:r>
    </w:p>
    <w:p>
      <w:pPr>
        <w:pStyle w:val="ListParagraph"/>
        <w:numPr>
          <w:ilvl w:val="0"/>
          <w:numId w:val="2"/>
        </w:numPr>
        <w:spacing w:after="60"/>
      </w:pPr>
      <w:r>
        <w:t xml:space="preserve">Single source of truth: controlled numbering, latest-revision-only, superseded drawings withdrawn.</w:t>
      </w:r>
    </w:p>
    <w:p>
      <w:pPr>
        <w:pStyle w:val="ListParagraph"/>
        <w:numPr>
          <w:ilvl w:val="0"/>
          <w:numId w:val="2"/>
        </w:numPr>
        <w:spacing w:after="60"/>
      </w:pPr>
      <w:r>
        <w:t xml:space="preserve">Submittal/transmittal register tracks every drawing/calc/sample: submitted → reviewed → status → resubmit.</w:t>
      </w:r>
    </w:p>
    <w:p>
      <w:pPr>
        <w:pStyle w:val="ListParagraph"/>
        <w:numPr>
          <w:ilvl w:val="0"/>
          <w:numId w:val="2"/>
        </w:numPr>
        <w:spacing w:after="60"/>
      </w:pPr>
      <w:r>
        <w:t xml:space="preserve">Approval status codes (A / B / C) governed; only “A / B” status released for fabrication or installation.</w:t>
      </w:r>
    </w:p>
    <w:p>
      <w:pPr>
        <w:pStyle w:val="ListParagraph"/>
        <w:numPr>
          <w:ilvl w:val="0"/>
          <w:numId w:val="2"/>
        </w:numPr>
        <w:spacing w:after="60"/>
      </w:pPr>
      <w:r>
        <w:t xml:space="preserve">RFIs logged and tracked to closure; correspondence and notices registered with dates for contractual protection.</w:t>
      </w:r>
    </w:p>
    <w:p>
      <w:pPr>
        <w:pStyle w:val="Heading1"/>
      </w:pPr>
      <w:r>
        <w:t xml:space="preserve">11. Risk &amp; Opportunity Management</w:t>
      </w:r>
    </w:p>
    <w:p>
      <w:pPr>
        <w:spacing w:after="120" w:line="276"/>
      </w:pPr>
      <w:r>
        <w:t xml:space="preserve">Risks and opportunities are captured in the Risk Register, scored by probability × impact, assigned an owner and a response (avoid / reduce / transfer / accept), and reviewed at least monthly. Top risks (approvals, mock-up, long-lead/price, interface tolerances, concurrent resourcing, work-at-height) carry specific mitigations and, where relevant, schedule/cost contingency.</w:t>
      </w:r>
    </w:p>
    <w:p>
      <w:pPr>
        <w:pStyle w:val="Heading1"/>
      </w:pPr>
      <w:r>
        <w:t xml:space="preserve">12. Change &amp; Variation Management</w:t>
      </w:r>
    </w:p>
    <w:p>
      <w:pPr>
        <w:pStyle w:val="ListParagraph"/>
        <w:numPr>
          <w:ilvl w:val="0"/>
          <w:numId w:val="2"/>
        </w:numPr>
        <w:spacing w:after="60"/>
      </w:pPr>
      <w:r>
        <w:t xml:space="preserve">All instructions in writing; verbal instructions confirmed via CVI within [24–48] hours.</w:t>
      </w:r>
    </w:p>
    <w:p>
      <w:pPr>
        <w:pStyle w:val="ListParagraph"/>
        <w:numPr>
          <w:ilvl w:val="0"/>
          <w:numId w:val="2"/>
        </w:numPr>
        <w:spacing w:after="60"/>
      </w:pPr>
      <w:r>
        <w:t xml:space="preserve">Each potential change logged in the Variation Register with description, origin, and time/cost assessment.</w:t>
      </w:r>
    </w:p>
    <w:p>
      <w:pPr>
        <w:pStyle w:val="ListParagraph"/>
        <w:numPr>
          <w:ilvl w:val="0"/>
          <w:numId w:val="2"/>
        </w:numPr>
        <w:spacing w:after="60"/>
      </w:pPr>
      <w:r>
        <w:t xml:space="preserve">No change executed without formal instruction from the Main Contractor; commercial entitlement preserved with records.</w:t>
      </w:r>
    </w:p>
    <w:p>
      <w:pPr>
        <w:pStyle w:val="ListParagraph"/>
        <w:numPr>
          <w:ilvl w:val="0"/>
          <w:numId w:val="2"/>
        </w:numPr>
        <w:spacing w:after="60"/>
      </w:pPr>
      <w:r>
        <w:t xml:space="preserve">Baseline (scope, programme, budget) updated only through approved change control.</w:t>
      </w:r>
    </w:p>
    <w:p>
      <w:pPr>
        <w:pStyle w:val="Heading1"/>
      </w:pPr>
      <w:r>
        <w:t xml:space="preserve">13. Communication &amp; Reporting</w:t>
      </w:r>
    </w:p>
    <w:p>
      <w:pPr>
        <w:spacing w:after="120" w:line="276"/>
      </w:pPr>
      <w:r>
        <w:t xml:space="preserve">A fixed reporting rhythm keeps the project controlled. Data is updated into the registers before each meeting so that meetings are decision-focused, not data-gathering.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300"/>
        <w:gridCol w:w="2700"/>
        <w:gridCol w:w="3126"/>
        <w:gridCol w:w="1900"/>
      </w:tblGrid>
      <w:tr>
        <w:trPr>
          <w:tblHeader/>
        </w:trPr>
        <w:tc>
          <w:tcPr>
            <w:tcW w:type="dxa" w:w="13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Cadence</w:t>
            </w:r>
          </w:p>
        </w:tc>
        <w:tc>
          <w:tcPr>
            <w:tcW w:type="dxa" w:w="2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Forum / report</w:t>
            </w:r>
          </w:p>
        </w:tc>
        <w:tc>
          <w:tcPr>
            <w:tcW w:type="dxa" w:w="31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Purpose</w:t>
            </w:r>
          </w:p>
        </w:tc>
        <w:tc>
          <w:tcPr>
            <w:tcW w:type="dxa" w:w="19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Owner</w:t>
            </w:r>
          </w:p>
        </w:tc>
      </w:tr>
      <w:tr>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Daily</w:t>
            </w:r>
          </w:p>
        </w:tc>
        <w:tc>
          <w:tcPr>
            <w:tcW w:type="dxa" w:w="2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Site coordination + daily site report</w:t>
            </w:r>
          </w:p>
        </w:tc>
        <w:tc>
          <w:tcPr>
            <w:tcW w:type="dxa" w:w="3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Manpower, deliveries, progress, issues</w:t>
            </w:r>
          </w:p>
        </w:tc>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Site Manager</w:t>
            </w:r>
          </w:p>
        </w:tc>
      </w:tr>
      <w:tr>
        <w:tc>
          <w:tcPr>
            <w:tcW w:type="dxa" w:w="13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Weekly</w:t>
            </w:r>
          </w:p>
        </w:tc>
        <w:tc>
          <w:tcPr>
            <w:tcW w:type="dxa" w:w="2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Internal progress / procurement / engineering review</w:t>
            </w:r>
          </w:p>
        </w:tc>
        <w:tc>
          <w:tcPr>
            <w:tcW w:type="dxa" w:w="31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Progress vs plan, RFIs, submittals, look-ahead</w:t>
            </w:r>
          </w:p>
        </w:tc>
        <w:tc>
          <w:tcPr>
            <w:tcW w:type="dxa" w:w="19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PM / Planner</w:t>
            </w:r>
          </w:p>
        </w:tc>
      </w:tr>
      <w:tr>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Weekly</w:t>
            </w:r>
          </w:p>
        </w:tc>
        <w:tc>
          <w:tcPr>
            <w:tcW w:type="dxa" w:w="2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Main Contractor coordination meeting</w:t>
            </w:r>
          </w:p>
        </w:tc>
        <w:tc>
          <w:tcPr>
            <w:tcW w:type="dxa" w:w="3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Interfaces, access, RFIs, issues</w:t>
            </w:r>
          </w:p>
        </w:tc>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PM</w:t>
            </w:r>
          </w:p>
        </w:tc>
      </w:tr>
      <w:tr>
        <w:tc>
          <w:tcPr>
            <w:tcW w:type="dxa" w:w="13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Monthly</w:t>
            </w:r>
          </w:p>
        </w:tc>
        <w:tc>
          <w:tcPr>
            <w:tcW w:type="dxa" w:w="2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Progress report + payment application</w:t>
            </w:r>
          </w:p>
        </w:tc>
        <w:tc>
          <w:tcPr>
            <w:tcW w:type="dxa" w:w="31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EVM, S-curve, cost, risks, IPA</w:t>
            </w:r>
          </w:p>
        </w:tc>
        <w:tc>
          <w:tcPr>
            <w:tcW w:type="dxa" w:w="19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PM / QS</w:t>
            </w:r>
          </w:p>
        </w:tc>
      </w:tr>
      <w:tr>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Monthly</w:t>
            </w:r>
          </w:p>
        </w:tc>
        <w:tc>
          <w:tcPr>
            <w:tcW w:type="dxa" w:w="2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Risk review</w:t>
            </w:r>
          </w:p>
        </w:tc>
        <w:tc>
          <w:tcPr>
            <w:tcW w:type="dxa" w:w="3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Update register, mitigations</w:t>
            </w:r>
          </w:p>
        </w:tc>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PM</w:t>
            </w:r>
          </w:p>
        </w:tc>
      </w:tr>
      <w:tr>
        <w:tc>
          <w:tcPr>
            <w:tcW w:type="dxa" w:w="13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Stage gate</w:t>
            </w:r>
          </w:p>
        </w:tc>
        <w:tc>
          <w:tcPr>
            <w:tcW w:type="dxa" w:w="2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Engineering / mock-up / handover reviews</w:t>
            </w:r>
          </w:p>
        </w:tc>
        <w:tc>
          <w:tcPr>
            <w:tcW w:type="dxa" w:w="31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Gate approval to proceed</w:t>
            </w:r>
          </w:p>
        </w:tc>
        <w:tc>
          <w:tcPr>
            <w:tcW w:type="dxa" w:w="19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PM / Eng / QA</w:t>
            </w:r>
          </w:p>
        </w:tc>
      </w:tr>
    </w:tbl>
    <w:p>
      <w:pPr>
        <w:pStyle w:val="Heading1"/>
      </w:pPr>
      <w:r>
        <w:t xml:space="preserve">14. Interface Management</w:t>
      </w:r>
    </w:p>
    <w:p>
      <w:pPr>
        <w:spacing w:after="120" w:line="276"/>
      </w:pPr>
      <w:r>
        <w:t xml:space="preserve">Interfaces with the Main Contractor and other trades are the largest source of RFIs and rework. An interface matrix records each interface, the responsible parties, the information/handover required and the date. Particular attention is given to slab-edge tolerances vs façade tolerances, cast-in embeds/brackets, survey datum, and fire/smoke perimeter seals. A tolerance and survey protocol is agreed early and bracket adjustability designed in.</w:t>
      </w:r>
    </w:p>
    <w:p>
      <w:pPr>
        <w:pStyle w:val="Heading1"/>
      </w:pPr>
      <w:r>
        <w:t xml:space="preserve">15. Key Performance Indicators (KPIs)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3200"/>
      </w:tblGrid>
      <w:tr>
        <w:trPr>
          <w:tblHeader/>
        </w:trPr>
        <w:tc>
          <w:tcPr>
            <w:tcW w:type="dxa" w:w="58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KPI</w:t>
            </w:r>
          </w:p>
        </w:tc>
        <w:tc>
          <w:tcPr>
            <w:tcW w:type="dxa" w:w="3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Target</w:t>
            </w:r>
          </w:p>
        </w:tc>
      </w:tr>
      <w:tr>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SPI / CPI</w:t>
            </w:r>
          </w:p>
        </w:tc>
        <w:tc>
          <w:tcPr>
            <w:tcW w:type="dxa" w:w="3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1.00</w:t>
            </w:r>
          </w:p>
        </w:tc>
      </w:tr>
      <w:tr>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Milestones achieved on time</w:t>
            </w:r>
          </w:p>
        </w:tc>
        <w:tc>
          <w:tcPr>
            <w:tcW w:type="dxa" w:w="3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100% of contract milestones</w:t>
            </w:r>
          </w:p>
        </w:tc>
      </w:tr>
      <w:tr>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Drawings approved first time</w:t>
            </w:r>
          </w:p>
        </w:tc>
        <w:tc>
          <w:tcPr>
            <w:tcW w:type="dxa" w:w="3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[85]%</w:t>
            </w:r>
          </w:p>
        </w:tc>
      </w:tr>
      <w:tr>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Inspections accepted first time</w:t>
            </w:r>
          </w:p>
        </w:tc>
        <w:tc>
          <w:tcPr>
            <w:tcW w:type="dxa" w:w="3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98%</w:t>
            </w:r>
          </w:p>
        </w:tc>
      </w:tr>
      <w:tr>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Open critical NCRs at handover</w:t>
            </w:r>
          </w:p>
        </w:tc>
        <w:tc>
          <w:tcPr>
            <w:tcW w:type="dxa" w:w="3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0</w:t>
            </w:r>
          </w:p>
        </w:tc>
      </w:tr>
      <w:tr>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Lost-time injuries</w:t>
            </w:r>
          </w:p>
        </w:tc>
        <w:tc>
          <w:tcPr>
            <w:tcW w:type="dxa" w:w="3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0</w:t>
            </w:r>
          </w:p>
        </w:tc>
      </w:tr>
      <w:tr>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Materials delivered on time (vs need date)</w:t>
            </w:r>
          </w:p>
        </w:tc>
        <w:tc>
          <w:tcPr>
            <w:tcW w:type="dxa" w:w="3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[95]%</w:t>
            </w:r>
          </w:p>
        </w:tc>
      </w:tr>
      <w:tr>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Payment certified vs applied</w:t>
            </w:r>
          </w:p>
        </w:tc>
        <w:tc>
          <w:tcPr>
            <w:tcW w:type="dxa" w:w="32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[95]%</w:t>
            </w:r>
          </w:p>
        </w:tc>
      </w:tr>
    </w:tbl>
    <w:p>
      <w:pPr>
        <w:pStyle w:val="Heading1"/>
      </w:pPr>
      <w:r>
        <w:t xml:space="preserve">16. Templates, Forms &amp; Registers (Project Control Pack)</w:t>
      </w:r>
    </w:p>
    <w:p>
      <w:pPr>
        <w:spacing w:after="120" w:line="276"/>
      </w:pPr>
      <w:r>
        <w:t xml:space="preserve">The following controlled templates, registers and forms are used to plan, track and report the project. They are maintained in the two Excel control packs accompanying this PEP.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6926"/>
      </w:tblGrid>
      <w:tr>
        <w:trPr>
          <w:tblHeader/>
        </w:trPr>
        <w:tc>
          <w:tcPr>
            <w:tcW w:type="dxa" w:w="21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Area</w:t>
            </w:r>
          </w:p>
        </w:tc>
        <w:tc>
          <w:tcPr>
            <w:tcW w:type="dxa" w:w="69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Templates / forms / registers</w:t>
            </w:r>
          </w:p>
        </w:tc>
      </w:tr>
      <w:tr>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bCs/>
                <w:color w:val="000000"/>
                <w:sz w:val="20"/>
                <w:szCs w:val="20"/>
              </w:rPr>
              <w:t xml:space="preserve">Schedule / time</w:t>
            </w:r>
          </w:p>
        </w:tc>
        <w:tc>
          <w:tcPr>
            <w:tcW w:type="dxa" w:w="6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Baseline programme; milestone tracker; 2-week look-ahead; weekly progress update; S-curve; delay/EOT log</w:t>
            </w:r>
          </w:p>
        </w:tc>
      </w:tr>
      <w:tr>
        <w:tc>
          <w:tcPr>
            <w:tcW w:type="dxa" w:w="2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bCs/>
                <w:color w:val="000000"/>
                <w:sz w:val="20"/>
                <w:szCs w:val="20"/>
              </w:rPr>
              <w:t xml:space="preserve">Cost</w:t>
            </w:r>
          </w:p>
        </w:tc>
        <w:tc>
          <w:tcPr>
            <w:tcW w:type="dxa" w:w="69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Cost breakdown &amp; budget; cost report (budget/committed/actual/EAC); cash-flow forecast; variation cost log</w:t>
            </w:r>
          </w:p>
        </w:tc>
      </w:tr>
      <w:tr>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bCs/>
                <w:color w:val="000000"/>
                <w:sz w:val="20"/>
                <w:szCs w:val="20"/>
              </w:rPr>
              <w:t xml:space="preserve">Quality</w:t>
            </w:r>
          </w:p>
        </w:tc>
        <w:tc>
          <w:tcPr>
            <w:tcW w:type="dxa" w:w="6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Quality plan; ITP; inspection request (IR); NCR register; material approval register; mock-up test report; snagging/punch list</w:t>
            </w:r>
          </w:p>
        </w:tc>
      </w:tr>
      <w:tr>
        <w:tc>
          <w:tcPr>
            <w:tcW w:type="dxa" w:w="2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bCs/>
                <w:color w:val="000000"/>
                <w:sz w:val="20"/>
                <w:szCs w:val="20"/>
              </w:rPr>
              <w:t xml:space="preserve">Payments</w:t>
            </w:r>
          </w:p>
        </w:tc>
        <w:tc>
          <w:tcPr>
            <w:tcW w:type="dxa" w:w="69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Interim Payment Application (IPA); payment certificate tracker; retention log</w:t>
            </w:r>
          </w:p>
        </w:tc>
      </w:tr>
      <w:tr>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bCs/>
                <w:color w:val="000000"/>
                <w:sz w:val="20"/>
                <w:szCs w:val="20"/>
              </w:rPr>
              <w:t xml:space="preserve">Scope / change</w:t>
            </w:r>
          </w:p>
        </w:tc>
        <w:tc>
          <w:tcPr>
            <w:tcW w:type="dxa" w:w="6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Scope register; RFI log; submittal/document register; variation/change register; CVI form</w:t>
            </w:r>
          </w:p>
        </w:tc>
      </w:tr>
      <w:tr>
        <w:tc>
          <w:tcPr>
            <w:tcW w:type="dxa" w:w="21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bCs/>
                <w:color w:val="000000"/>
                <w:sz w:val="20"/>
                <w:szCs w:val="20"/>
              </w:rPr>
              <w:t xml:space="preserve">Progress / resources</w:t>
            </w:r>
          </w:p>
        </w:tc>
        <w:tc>
          <w:tcPr>
            <w:tcW w:type="dxa" w:w="69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Quantity &amp; progress tracker; daily site report; manpower histogram; equipment/plant tracker; procurement &amp; delivery tracker; photo log</w:t>
            </w:r>
          </w:p>
        </w:tc>
      </w:tr>
      <w:tr>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bCs/>
                <w:color w:val="000000"/>
                <w:sz w:val="20"/>
                <w:szCs w:val="20"/>
              </w:rPr>
              <w:t xml:space="preserve">Risk / governance</w:t>
            </w:r>
          </w:p>
        </w:tc>
        <w:tc>
          <w:tcPr>
            <w:tcW w:type="dxa" w:w="69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Risk register; interface matrix; RACI; meeting minutes; lessons learned</w:t>
            </w:r>
          </w:p>
        </w:tc>
      </w:tr>
    </w:tbl>
    <w:p>
      <w:pPr>
        <w:pStyle w:val="Heading1"/>
      </w:pPr>
      <w:r>
        <w:t xml:space="preserve">17. Closeout &amp; Handover</w:t>
      </w:r>
    </w:p>
    <w:p>
      <w:pPr>
        <w:pStyle w:val="ListParagraph"/>
        <w:numPr>
          <w:ilvl w:val="0"/>
          <w:numId w:val="2"/>
        </w:numPr>
        <w:spacing w:after="60"/>
      </w:pPr>
      <w:r>
        <w:t xml:space="preserve">Progressive handover by zone with signed snag close-out.</w:t>
      </w:r>
    </w:p>
    <w:p>
      <w:pPr>
        <w:pStyle w:val="ListParagraph"/>
        <w:numPr>
          <w:ilvl w:val="0"/>
          <w:numId w:val="2"/>
        </w:numPr>
        <w:spacing w:after="60"/>
      </w:pPr>
      <w:r>
        <w:t xml:space="preserve">Compile and submit as-builts, O&amp;M manuals, warranties and guarantees.</w:t>
      </w:r>
    </w:p>
    <w:p>
      <w:pPr>
        <w:pStyle w:val="ListParagraph"/>
        <w:numPr>
          <w:ilvl w:val="0"/>
          <w:numId w:val="2"/>
        </w:numPr>
        <w:spacing w:after="60"/>
      </w:pPr>
      <w:r>
        <w:t xml:space="preserve">Agree final account; release retention per contract; demobilise.</w:t>
      </w:r>
    </w:p>
    <w:p>
      <w:pPr>
        <w:pStyle w:val="ListParagraph"/>
        <w:numPr>
          <w:ilvl w:val="0"/>
          <w:numId w:val="2"/>
        </w:numPr>
        <w:spacing w:after="60"/>
      </w:pPr>
      <w:r>
        <w:t xml:space="preserve">Conduct lessons-learned and archive all project records.</w:t>
      </w:r>
    </w:p>
    <w:p>
      <w:pPr>
        <w:pStyle w:val="Heading1"/>
      </w:pPr>
      <w:r>
        <w:t xml:space="preserve">18. Approval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626"/>
        <w:gridCol w:w="2400"/>
        <w:gridCol w:w="1600"/>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Role</w:t>
            </w:r>
          </w:p>
        </w:tc>
        <w:tc>
          <w:tcPr>
            <w:tcW w:type="dxa" w:w="26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Name</w:t>
            </w:r>
          </w:p>
        </w:tc>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Signature</w:t>
            </w:r>
          </w:p>
        </w:tc>
        <w:tc>
          <w:tcPr>
            <w:tcW w:type="dxa" w:w="1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Date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Project Manager</w:t>
            </w:r>
          </w:p>
        </w:tc>
        <w:tc>
          <w:tcPr>
            <w:tcW w:type="dxa" w:w="2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Sponsor</w:t>
            </w:r>
          </w:p>
        </w:tc>
        <w:tc>
          <w:tcPr>
            <w:tcW w:type="dxa" w:w="26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[Name]</w:t>
            </w:r>
          </w:p>
        </w:tc>
        <w:tc>
          <w:tcPr>
            <w:tcW w:type="dxa" w:w="24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6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tabs>
        <w:tab w:val="right" w:pos="9026"/>
      </w:tabs>
    </w:pPr>
    <w:r>
      <w:rPr>
        <w:color w:val="808080"/>
        <w:sz w:val="16"/>
        <w:szCs w:val="16"/>
      </w:rPr>
      <w:t xml:space="preserve">[Façade Contractor] — Confidential</w:t>
    </w:r>
    <w:r>
      <w:rPr>
        <w:color w:val="808080"/>
        <w:sz w:val="16"/>
        <w:szCs w:val="16"/>
      </w:rPr>
      <w:t xml:space="preserve">	Page </w:t>
    </w:r>
    <w:r>
      <w:rPr>
        <w:color w:val="808080"/>
        <w:sz w:val="16"/>
        <w:szCs w:val="16"/>
      </w:rPr>
      <w:fldChar w:fldCharType="begin"/>
      <w:instrText xml:space="preserve">PAGE</w:instrText>
      <w:fldChar w:fldCharType="separate"/>
      <w:fldChar w:fldCharType="end"/>
    </w:r>
    <w:r>
      <w:rPr>
        <w:color w:val="808080"/>
        <w:sz w:val="16"/>
        <w:szCs w:val="16"/>
      </w:rPr>
      <w:t xml:space="preserve"> of </w:t>
    </w:r>
    <w:r>
      <w:rPr>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pPr>
    <w:r>
      <w:rPr>
        <w:color w:val="808080"/>
        <w:sz w:val="16"/>
        <w:szCs w:val="16"/>
      </w:rPr>
      <w:t xml:space="preserve">[PROJECT NAME] — Twin Towers Façade Package</w:t>
    </w:r>
    <w:r>
      <w:rPr>
        <w:color w:val="808080"/>
        <w:sz w:val="16"/>
        <w:szCs w:val="16"/>
      </w:rPr>
      <w:t xml:space="preserve">	Project Execution Plan (PEP)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lvl w:ilvl="1" w15:tentative="1">
      <w:start w:val="1"/>
      <w:numFmt w:val="bullet"/>
      <w:lvlText w:val="–"/>
      <w:lvlJc w:val="left"/>
      <w:pPr>
        <w:ind w:left="920" w:hanging="260"/>
      </w:pPr>
    </w:lvl>
  </w:abstractNum>
  <w:abstractNum w:abstractNumId="3" w15:restartNumberingAfterBreak="0">
    <w:multiLevelType w:val="hybridMultilevel"/>
    <w:lvl w:ilvl="0" w15:tentative="1">
      <w:start w:val="1"/>
      <w:numFmt w:val="decimal"/>
      <w:lvlText w:val="%1."/>
      <w:lvlJc w:val="left"/>
      <w:pPr>
        <w:ind w:left="460" w:hanging="260"/>
      </w:pPr>
    </w:lvl>
    <w:lvl w:ilvl="1" w15:tentative="1">
      <w:start w:val="1"/>
      <w:numFmt w:val="lowerLetter"/>
      <w:lvlText w:val="%2)"/>
      <w:lvlJc w:val="left"/>
      <w:pPr>
        <w:ind w:left="9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D9E2F3" w:sz="4" w:space="4"/>
      </w:pBdr>
      <w:spacing w:after="160" w:before="300"/>
      <w:outlineLvl w:val="0"/>
    </w:pPr>
    <w:rPr>
      <w:rFonts w:ascii="Arial" w:cs="Arial" w:eastAsia="Arial" w:hAnsi="Arial"/>
      <w:b/>
      <w:bCs/>
      <w:color w:val="1F3864"/>
      <w:sz w:val="30"/>
      <w:szCs w:val="30"/>
    </w:rPr>
  </w:style>
  <w:style w:type="paragraph" w:styleId="Heading2">
    <w:name w:val="Heading 2"/>
    <w:basedOn w:val="Normal"/>
    <w:next w:val="Normal"/>
    <w:qFormat/>
    <w:pPr>
      <w:spacing w:after="120" w:before="220"/>
      <w:outlineLvl w:val="1"/>
    </w:pPr>
    <w:rPr>
      <w:rFonts w:ascii="Arial" w:cs="Arial" w:eastAsia="Arial" w:hAnsi="Arial"/>
      <w:b/>
      <w:bCs/>
      <w:color w:val="2E5496"/>
      <w:sz w:val="25"/>
      <w:szCs w:val="25"/>
    </w:rPr>
  </w:style>
  <w:style w:type="paragraph" w:styleId="Heading3">
    <w:name w:val="Heading 3"/>
    <w:basedOn w:val="Normal"/>
    <w:next w:val="Normal"/>
    <w:qFormat/>
    <w:pPr>
      <w:spacing w:after="80" w:before="160"/>
      <w:outlineLvl w:val="2"/>
    </w:pPr>
    <w:rPr>
      <w:rFonts w:ascii="Arial" w:cs="Arial" w:eastAsia="Arial" w:hAnsi="Arial"/>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Execution Plan (PEP)</dc:title>
  <dc:creator>[Façade Contractor]</dc:creator>
  <cp:lastModifiedBy>Un-named</cp:lastModifiedBy>
  <cp:revision>1</cp:revision>
  <dcterms:created xsi:type="dcterms:W3CDTF">2026-06-28T16:15:40.404Z</dcterms:created>
  <dcterms:modified xsi:type="dcterms:W3CDTF">2026-06-28T16:15:40.404Z</dcterms:modified>
</cp:coreProperties>
</file>

<file path=docProps/custom.xml><?xml version="1.0" encoding="utf-8"?>
<Properties xmlns="http://schemas.openxmlformats.org/officeDocument/2006/custom-properties" xmlns:vt="http://schemas.openxmlformats.org/officeDocument/2006/docPropsVTypes"/>
</file>