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2E5496" w:sz="12" w:space="8"/>
        </w:pBdr>
        <w:spacing w:after="0" w:before="1200"/>
        <w:jc w:val="center"/>
      </w:pPr>
      <w:r>
        <w:rPr>
          <w:b/>
          <w:bCs/>
          <w:color w:val="1F3864"/>
          <w:sz w:val="30"/>
          <w:szCs w:val="30"/>
        </w:rPr>
        <w:t xml:space="preserve">[PROJECT NAME] — Twin Towers Façade Package</w:t>
      </w:r>
    </w:p>
    <w:p>
      <w:pPr>
        <w:spacing w:after="120" w:before="480"/>
        <w:jc w:val="center"/>
      </w:pPr>
      <w:r>
        <w:rPr>
          <w:b/>
          <w:bCs/>
          <w:color w:val="2E5496"/>
          <w:sz w:val="56"/>
          <w:szCs w:val="56"/>
        </w:rPr>
        <w:t xml:space="preserve">Team Ground Rules</w:t>
      </w:r>
    </w:p>
    <w:p>
      <w:pPr>
        <w:spacing w:after="600"/>
        <w:jc w:val="center"/>
      </w:pPr>
      <w:r>
        <w:rPr>
          <w:color w:val="595959"/>
          <w:sz w:val="26"/>
          <w:szCs w:val="26"/>
        </w:rPr>
        <w:t xml:space="preserve">How this team works together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Document title</w:t>
            </w:r>
          </w:p>
        </w:tc>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Team Ground Rules &amp; Code of Conduct</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Project</w:t>
            </w:r>
          </w:p>
        </w:tc>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Tower 1 (51 floors) &amp; Tower 3 (57 floors)</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Document no. / Rev</w:t>
            </w:r>
          </w:p>
        </w:tc>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[PRJ]-GR-001 / Rev 0</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Date</w:t>
            </w:r>
          </w:p>
        </w:tc>
        <w:tc>
          <w:tcPr>
            <w:tcW w:type="dxa" w:w="5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[DD-MMM-YYYY]</w:t>
            </w:r>
          </w:p>
        </w:tc>
      </w:tr>
      <w:tr>
        <w:tc>
          <w:tcPr>
            <w:tcW w:type="dxa" w:w="32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jc w:val="left"/>
            </w:pPr>
            <w:r>
              <w:rPr>
                <w:b/>
                <w:bCs/>
                <w:color w:val="000000"/>
                <w:sz w:val="20"/>
                <w:szCs w:val="20"/>
              </w:rPr>
              <w:t xml:space="preserve">Issued by (PM)</w:t>
            </w:r>
          </w:p>
        </w:tc>
        <w:tc>
          <w:tcPr>
            <w:tcW w:type="dxa" w:w="5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[Name]</w:t>
            </w:r>
          </w:p>
        </w:tc>
      </w:tr>
    </w:tbl>
    <w:p>
      <w:pPr>
        <w:spacing w:before="360"/>
        <w:jc w:val="center"/>
      </w:pPr>
      <w:r>
        <w:rPr>
          <w:i/>
          <w:iCs/>
          <w:color w:val="808080"/>
          <w:sz w:val="18"/>
          <w:szCs w:val="18"/>
        </w:rPr>
        <w:t xml:space="preserve">TEMPLATE — replace all bracketed [ ] placeholders with project-specific information.</w:t>
      </w:r>
    </w:p>
    <w:p>
      <w:r>
        <w:br w:type="page"/>
      </w:r>
    </w:p>
    <w:p>
      <w:pPr>
        <w:pStyle w:val="Heading1"/>
      </w:pPr>
      <w:r>
        <w:t xml:space="preserve">1. Purpose</w:t>
      </w:r>
    </w:p>
    <w:p>
      <w:pPr>
        <w:spacing w:after="120" w:line="276"/>
      </w:pPr>
      <w:r>
        <w:t xml:space="preserve">These ground rules set the shared expectations for how everyone on the Façade Package works together — staff, supervisors, suppliers and subcontractors. They exist so the team is safe, aligned, and predictable in how it communicates, makes decisions and delivers. Everyone is expected to read, sign and follow them. They sit alongside the contract, the Project Execution Plan and the company HSE and quality systems, which always take precedence.</w:t>
      </w:r>
    </w:p>
    <w:p>
      <w:pPr>
        <w:pStyle w:val="Heading1"/>
      </w:pPr>
      <w:r>
        <w:t xml:space="preserve">2. How We Work — Core Principles</w:t>
      </w:r>
    </w:p>
    <w:p>
      <w:pPr>
        <w:pStyle w:val="ListParagraph"/>
        <w:numPr>
          <w:ilvl w:val="0"/>
          <w:numId w:val="2"/>
        </w:numPr>
        <w:spacing w:after="60"/>
      </w:pPr>
      <w:r>
        <w:t xml:space="preserve">Safety first, always — no task is so urgent that it is done unsafely.</w:t>
      </w:r>
    </w:p>
    <w:p>
      <w:pPr>
        <w:pStyle w:val="ListParagraph"/>
        <w:numPr>
          <w:ilvl w:val="0"/>
          <w:numId w:val="2"/>
        </w:numPr>
        <w:spacing w:after="60"/>
      </w:pPr>
      <w:r>
        <w:t xml:space="preserve">We do what we say — commitments are tracked and honoured, or renegotiated early.</w:t>
      </w:r>
    </w:p>
    <w:p>
      <w:pPr>
        <w:pStyle w:val="ListParagraph"/>
        <w:numPr>
          <w:ilvl w:val="0"/>
          <w:numId w:val="2"/>
        </w:numPr>
        <w:spacing w:after="60"/>
      </w:pPr>
      <w:r>
        <w:t xml:space="preserve">No surprises — problems are raised early, not hidden until they grow.</w:t>
      </w:r>
    </w:p>
    <w:p>
      <w:pPr>
        <w:pStyle w:val="ListParagraph"/>
        <w:numPr>
          <w:ilvl w:val="0"/>
          <w:numId w:val="2"/>
        </w:numPr>
        <w:spacing w:after="60"/>
      </w:pPr>
      <w:r>
        <w:t xml:space="preserve">One team — we cooperate across disciplines and with the Main Contractor and suppliers.</w:t>
      </w:r>
    </w:p>
    <w:p>
      <w:pPr>
        <w:pStyle w:val="ListParagraph"/>
        <w:numPr>
          <w:ilvl w:val="0"/>
          <w:numId w:val="2"/>
        </w:numPr>
        <w:spacing w:after="60"/>
      </w:pPr>
      <w:r>
        <w:t xml:space="preserve">Facts over opinions — decisions are driven by data from the registers and the programme.</w:t>
      </w:r>
    </w:p>
    <w:p>
      <w:pPr>
        <w:pStyle w:val="ListParagraph"/>
        <w:numPr>
          <w:ilvl w:val="0"/>
          <w:numId w:val="2"/>
        </w:numPr>
        <w:spacing w:after="60"/>
      </w:pPr>
      <w:r>
        <w:t xml:space="preserve">Quality at source — we build it right the first time and never cover up a defect.</w:t>
      </w:r>
    </w:p>
    <w:p>
      <w:pPr>
        <w:pStyle w:val="Heading1"/>
      </w:pPr>
      <w:r>
        <w:t xml:space="preserve">3. Safety — Non-Negotiables</w:t>
      </w:r>
    </w:p>
    <w:p>
      <w:pPr>
        <w:pStyle w:val="ListParagraph"/>
        <w:numPr>
          <w:ilvl w:val="0"/>
          <w:numId w:val="2"/>
        </w:numPr>
        <w:spacing w:after="60"/>
      </w:pPr>
      <w:r>
        <w:t xml:space="preserve">No RAMS / no permit = no work. High-risk and work-at-height tasks proceed only with approved RAMS and the required permit.</w:t>
      </w:r>
    </w:p>
    <w:p>
      <w:pPr>
        <w:pStyle w:val="ListParagraph"/>
        <w:numPr>
          <w:ilvl w:val="0"/>
          <w:numId w:val="2"/>
        </w:numPr>
        <w:spacing w:after="60"/>
      </w:pPr>
      <w:r>
        <w:t xml:space="preserve">100% fall protection at height; nobody works at an unprotected edge.</w:t>
      </w:r>
    </w:p>
    <w:p>
      <w:pPr>
        <w:pStyle w:val="ListParagraph"/>
        <w:numPr>
          <w:ilvl w:val="0"/>
          <w:numId w:val="2"/>
        </w:numPr>
        <w:spacing w:after="60"/>
      </w:pPr>
      <w:r>
        <w:t xml:space="preserve">Respect exclusion zones below hoisting, glazing and panel installation.</w:t>
      </w:r>
    </w:p>
    <w:p>
      <w:pPr>
        <w:pStyle w:val="ListParagraph"/>
        <w:numPr>
          <w:ilvl w:val="0"/>
          <w:numId w:val="2"/>
        </w:numPr>
        <w:spacing w:after="60"/>
      </w:pPr>
      <w:r>
        <w:t xml:space="preserve">Stop-work authority: anyone may stop a task they believe is unsafe — without blame.</w:t>
      </w:r>
    </w:p>
    <w:p>
      <w:pPr>
        <w:pStyle w:val="ListParagraph"/>
        <w:numPr>
          <w:ilvl w:val="0"/>
          <w:numId w:val="2"/>
        </w:numPr>
        <w:spacing w:after="60"/>
      </w:pPr>
      <w:r>
        <w:t xml:space="preserve">Report every incident, injury and near-miss the same day.</w:t>
      </w:r>
    </w:p>
    <w:p>
      <w:pPr>
        <w:pStyle w:val="Heading1"/>
      </w:pPr>
      <w:r>
        <w:t xml:space="preserve">4. Communication Rules</w:t>
      </w:r>
    </w:p>
    <w:p>
      <w:pPr>
        <w:pStyle w:val="ListParagraph"/>
        <w:numPr>
          <w:ilvl w:val="0"/>
          <w:numId w:val="2"/>
        </w:numPr>
        <w:spacing w:after="60"/>
      </w:pPr>
      <w:r>
        <w:t xml:space="preserve">All instructions and decisions are in writing. Verbal instructions are confirmed in writing (CVI) within [24–48] hours.</w:t>
      </w:r>
    </w:p>
    <w:p>
      <w:pPr>
        <w:pStyle w:val="ListParagraph"/>
        <w:numPr>
          <w:ilvl w:val="0"/>
          <w:numId w:val="2"/>
        </w:numPr>
        <w:spacing w:after="60"/>
      </w:pPr>
      <w:r>
        <w:t xml:space="preserve">Use the official channels and registers — not personal chat apps — for drawings, instructions and approvals.</w:t>
      </w:r>
    </w:p>
    <w:p>
      <w:pPr>
        <w:pStyle w:val="ListParagraph"/>
        <w:numPr>
          <w:ilvl w:val="0"/>
          <w:numId w:val="2"/>
        </w:numPr>
        <w:spacing w:after="60"/>
      </w:pPr>
      <w:r>
        <w:t xml:space="preserve">Reply to project emails/requests within [one working day]; if you cannot action, acknowledge and give a date.</w:t>
      </w:r>
    </w:p>
    <w:p>
      <w:pPr>
        <w:pStyle w:val="ListParagraph"/>
        <w:numPr>
          <w:ilvl w:val="0"/>
          <w:numId w:val="2"/>
        </w:numPr>
        <w:spacing w:after="60"/>
      </w:pPr>
      <w:r>
        <w:t xml:space="preserve">Be clear and specific: who, what, where, by when. Reference drawing/RFI/zone numbers.</w:t>
      </w:r>
    </w:p>
    <w:p>
      <w:pPr>
        <w:pStyle w:val="ListParagraph"/>
        <w:numPr>
          <w:ilvl w:val="0"/>
          <w:numId w:val="2"/>
        </w:numPr>
        <w:spacing w:after="60"/>
      </w:pPr>
      <w:r>
        <w:t xml:space="preserve">Raise blockers, missing information and clashes immediately via RFI or notice — do not sit on them.</w:t>
      </w:r>
    </w:p>
    <w:p>
      <w:pPr>
        <w:pStyle w:val="ListParagraph"/>
        <w:numPr>
          <w:ilvl w:val="0"/>
          <w:numId w:val="2"/>
        </w:numPr>
        <w:spacing w:after="60"/>
      </w:pPr>
      <w:r>
        <w:t xml:space="preserve">Communicate respectfully; disagree on the issue, never the person.</w:t>
      </w:r>
    </w:p>
    <w:p>
      <w:r>
        <w:br w:type="page"/>
      </w:r>
    </w:p>
    <w:p>
      <w:pPr>
        <w:pStyle w:val="Heading1"/>
      </w:pPr>
      <w:r>
        <w:t xml:space="preserve">5. Meeting Rules</w:t>
      </w:r>
    </w:p>
    <w:p>
      <w:pPr>
        <w:pStyle w:val="ListParagraph"/>
        <w:numPr>
          <w:ilvl w:val="0"/>
          <w:numId w:val="2"/>
        </w:numPr>
        <w:spacing w:after="60"/>
      </w:pPr>
      <w:r>
        <w:t xml:space="preserve">Meetings start and finish on time; come prepared with your registers updated beforehand.</w:t>
      </w:r>
    </w:p>
    <w:p>
      <w:pPr>
        <w:pStyle w:val="ListParagraph"/>
        <w:numPr>
          <w:ilvl w:val="0"/>
          <w:numId w:val="2"/>
        </w:numPr>
        <w:spacing w:after="60"/>
      </w:pPr>
      <w:r>
        <w:t xml:space="preserve">Every meeting has an agenda and purpose; if there is no agenda, there is no meeting.</w:t>
      </w:r>
    </w:p>
    <w:p>
      <w:pPr>
        <w:pStyle w:val="ListParagraph"/>
        <w:numPr>
          <w:ilvl w:val="0"/>
          <w:numId w:val="2"/>
        </w:numPr>
        <w:spacing w:after="60"/>
      </w:pPr>
      <w:r>
        <w:t xml:space="preserve">Minutes with clear actions (owner + due date) are issued within [24] hours and tracked to closure.</w:t>
      </w:r>
    </w:p>
    <w:p>
      <w:pPr>
        <w:pStyle w:val="ListParagraph"/>
        <w:numPr>
          <w:ilvl w:val="0"/>
          <w:numId w:val="2"/>
        </w:numPr>
        <w:spacing w:after="60"/>
      </w:pPr>
      <w:r>
        <w:t xml:space="preserve">Decisions made in the meeting are final for that cycle unless new information arises.</w:t>
      </w:r>
    </w:p>
    <w:p>
      <w:pPr>
        <w:pStyle w:val="ListParagraph"/>
        <w:numPr>
          <w:ilvl w:val="0"/>
          <w:numId w:val="2"/>
        </w:numPr>
        <w:spacing w:after="60"/>
      </w:pPr>
      <w:r>
        <w:t xml:space="preserve">One conversation at a time; phones on silent; stay on topic — park side issues.</w:t>
      </w:r>
    </w:p>
    <w:p>
      <w:pPr>
        <w:pStyle w:val="Heading1"/>
      </w:pPr>
      <w:r>
        <w:t xml:space="preserve">6. Document &amp; Drawing Discipline</w:t>
      </w:r>
    </w:p>
    <w:p>
      <w:pPr>
        <w:pStyle w:val="ListParagraph"/>
        <w:numPr>
          <w:ilvl w:val="0"/>
          <w:numId w:val="2"/>
        </w:numPr>
        <w:spacing w:after="60"/>
      </w:pPr>
      <w:r>
        <w:t xml:space="preserve">Single source of truth: only the latest approved revision is used. Superseded drawings are withdrawn.</w:t>
      </w:r>
    </w:p>
    <w:p>
      <w:pPr>
        <w:pStyle w:val="ListParagraph"/>
        <w:numPr>
          <w:ilvl w:val="0"/>
          <w:numId w:val="2"/>
        </w:numPr>
        <w:spacing w:after="60"/>
      </w:pPr>
      <w:r>
        <w:t xml:space="preserve">Nothing is fabricated or installed off un-approved drawings (status “A” or “B” only).</w:t>
      </w:r>
    </w:p>
    <w:p>
      <w:pPr>
        <w:pStyle w:val="ListParagraph"/>
        <w:numPr>
          <w:ilvl w:val="0"/>
          <w:numId w:val="2"/>
        </w:numPr>
        <w:spacing w:after="60"/>
      </w:pPr>
      <w:r>
        <w:t xml:space="preserve">Survey before fixing brackets; never install over out-of-tolerance structure without an approved solution.</w:t>
      </w:r>
    </w:p>
    <w:p>
      <w:pPr>
        <w:pStyle w:val="ListParagraph"/>
        <w:numPr>
          <w:ilvl w:val="0"/>
          <w:numId w:val="2"/>
        </w:numPr>
        <w:spacing w:after="60"/>
      </w:pPr>
      <w:r>
        <w:t xml:space="preserve">Every submittal, RFI and transmittal is logged with dates in the register.</w:t>
      </w:r>
    </w:p>
    <w:p>
      <w:pPr>
        <w:pStyle w:val="Heading1"/>
      </w:pPr>
      <w:r>
        <w:t xml:space="preserve">7. Decision-Making &amp; Escalation</w:t>
      </w:r>
    </w:p>
    <w:p>
      <w:pPr>
        <w:spacing w:after="120" w:line="276"/>
      </w:pPr>
      <w:r>
        <w:t xml:space="preserve">Decisions are made at the lowest competent level. If a decision is beyond your authority, or an issue is not resolved within its timeframe, escalate promptly using the path below rather than letting it drift.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3526"/>
        <w:gridCol w:w="2800"/>
        <w:gridCol w:w="2000"/>
      </w:tblGrid>
      <w:tr>
        <w:trPr>
          <w:tblHeader/>
        </w:trPr>
        <w:tc>
          <w:tcPr>
            <w:tcW w:type="dxa" w:w="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Level</w:t>
            </w:r>
          </w:p>
        </w:tc>
        <w:tc>
          <w:tcPr>
            <w:tcW w:type="dxa" w:w="3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Decision / issue</w:t>
            </w:r>
          </w:p>
        </w:tc>
        <w:tc>
          <w:tcPr>
            <w:tcW w:type="dxa" w:w="28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Owner</w:t>
            </w:r>
          </w:p>
        </w:tc>
        <w:tc>
          <w:tcPr>
            <w:tcW w:type="dxa" w:w="2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Timeframe</w:t>
            </w:r>
          </w:p>
        </w:tc>
      </w:tr>
      <w:tr>
        <w:tc>
          <w:tcPr>
            <w:tcW w:type="dxa" w:w="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1</w:t>
            </w:r>
          </w:p>
        </w:tc>
        <w:tc>
          <w:tcPr>
            <w:tcW w:type="dxa" w:w="3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Day-to-day execution, sequencing</w:t>
            </w:r>
          </w:p>
        </w:tc>
        <w:tc>
          <w:tcPr>
            <w:tcW w:type="dxa" w:w="2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Supervisor / Foreman</w:t>
            </w:r>
          </w:p>
        </w:tc>
        <w:tc>
          <w:tcPr>
            <w:tcW w:type="dxa" w:w="2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Same day</w:t>
            </w:r>
          </w:p>
        </w:tc>
      </w:tr>
      <w:tr>
        <w:tc>
          <w:tcPr>
            <w:tcW w:type="dxa" w:w="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2</w:t>
            </w:r>
          </w:p>
        </w:tc>
        <w:tc>
          <w:tcPr>
            <w:tcW w:type="dxa" w:w="3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Discipline issues, RFIs, quality calls</w:t>
            </w:r>
          </w:p>
        </w:tc>
        <w:tc>
          <w:tcPr>
            <w:tcW w:type="dxa" w:w="2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Functional lead (Eng/QA/Site)</w:t>
            </w:r>
          </w:p>
        </w:tc>
        <w:tc>
          <w:tcPr>
            <w:tcW w:type="dxa" w:w="2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[1–2] days</w:t>
            </w:r>
          </w:p>
        </w:tc>
      </w:tr>
      <w:tr>
        <w:tc>
          <w:tcPr>
            <w:tcW w:type="dxa" w:w="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3</w:t>
            </w:r>
          </w:p>
        </w:tc>
        <w:tc>
          <w:tcPr>
            <w:tcW w:type="dxa" w:w="3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Cross-discipline, programme, cost impact</w:t>
            </w:r>
          </w:p>
        </w:tc>
        <w:tc>
          <w:tcPr>
            <w:tcW w:type="dxa" w:w="28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Project Manager</w:t>
            </w:r>
          </w:p>
        </w:tc>
        <w:tc>
          <w:tcPr>
            <w:tcW w:type="dxa" w:w="2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[2–3] days</w:t>
            </w:r>
          </w:p>
        </w:tc>
      </w:tr>
      <w:tr>
        <w:tc>
          <w:tcPr>
            <w:tcW w:type="dxa" w:w="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4</w:t>
            </w:r>
          </w:p>
        </w:tc>
        <w:tc>
          <w:tcPr>
            <w:tcW w:type="dxa" w:w="35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Contract value, completion date, major risk</w:t>
            </w:r>
          </w:p>
        </w:tc>
        <w:tc>
          <w:tcPr>
            <w:tcW w:type="dxa" w:w="28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Sponsor / Senior management</w:t>
            </w:r>
          </w:p>
        </w:tc>
        <w:tc>
          <w:tcPr>
            <w:tcW w:type="dxa" w:w="2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Per contract</w:t>
            </w:r>
          </w:p>
        </w:tc>
      </w:tr>
    </w:tbl>
    <w:p>
      <w:pPr>
        <w:pStyle w:val="Heading1"/>
      </w:pPr>
      <w:r>
        <w:t xml:space="preserve">8. Quality Rules</w:t>
      </w:r>
    </w:p>
    <w:p>
      <w:pPr>
        <w:pStyle w:val="ListParagraph"/>
        <w:numPr>
          <w:ilvl w:val="0"/>
          <w:numId w:val="2"/>
        </w:numPr>
        <w:spacing w:after="60"/>
      </w:pPr>
      <w:r>
        <w:t xml:space="preserve">Inspect and sign off each stage (survey → brackets → frames → glass/panel → seal) before covering up.</w:t>
      </w:r>
    </w:p>
    <w:p>
      <w:pPr>
        <w:pStyle w:val="ListParagraph"/>
        <w:numPr>
          <w:ilvl w:val="0"/>
          <w:numId w:val="2"/>
        </w:numPr>
        <w:spacing w:after="60"/>
      </w:pPr>
      <w:r>
        <w:t xml:space="preserve">Raise defects as NCRs and close them out — never hide or paint over non-conformance.</w:t>
      </w:r>
    </w:p>
    <w:p>
      <w:pPr>
        <w:pStyle w:val="ListParagraph"/>
        <w:numPr>
          <w:ilvl w:val="0"/>
          <w:numId w:val="2"/>
        </w:numPr>
        <w:spacing w:after="60"/>
      </w:pPr>
      <w:r>
        <w:t xml:space="preserve">Use only approved materials matching the approved submittals and certificates.</w:t>
      </w:r>
    </w:p>
    <w:p>
      <w:pPr>
        <w:pStyle w:val="ListParagraph"/>
        <w:numPr>
          <w:ilvl w:val="0"/>
          <w:numId w:val="2"/>
        </w:numPr>
        <w:spacing w:after="60"/>
      </w:pPr>
      <w:r>
        <w:t xml:space="preserve">Protect completed work from following trades; report and log any damage.</w:t>
      </w:r>
    </w:p>
    <w:p>
      <w:pPr>
        <w:pStyle w:val="Heading1"/>
      </w:pPr>
      <w:r>
        <w:t xml:space="preserve">9. Commercial &amp; Change Discipline</w:t>
      </w:r>
    </w:p>
    <w:p>
      <w:pPr>
        <w:pStyle w:val="ListParagraph"/>
        <w:numPr>
          <w:ilvl w:val="0"/>
          <w:numId w:val="2"/>
        </w:numPr>
        <w:spacing w:after="60"/>
      </w:pPr>
      <w:r>
        <w:t xml:space="preserve">No change to scope, programme or specification without a logged variation and formal instruction.</w:t>
      </w:r>
    </w:p>
    <w:p>
      <w:pPr>
        <w:pStyle w:val="ListParagraph"/>
        <w:numPr>
          <w:ilvl w:val="0"/>
          <w:numId w:val="2"/>
        </w:numPr>
        <w:spacing w:after="60"/>
      </w:pPr>
      <w:r>
        <w:t xml:space="preserve">Keep contemporaneous records (diaries, photos, dockets) — they protect time and cost entitlement.</w:t>
      </w:r>
    </w:p>
    <w:p>
      <w:pPr>
        <w:pStyle w:val="ListParagraph"/>
        <w:numPr>
          <w:ilvl w:val="0"/>
          <w:numId w:val="2"/>
        </w:numPr>
        <w:spacing w:after="60"/>
      </w:pPr>
      <w:r>
        <w:t xml:space="preserve">Notify delays, disruptions and additional works within the contractual timeframes.</w:t>
      </w:r>
    </w:p>
    <w:p>
      <w:pPr>
        <w:pStyle w:val="Heading1"/>
      </w:pPr>
      <w:r>
        <w:t xml:space="preserve">10. Accountability &amp; Reporting</w:t>
      </w:r>
    </w:p>
    <w:p>
      <w:pPr>
        <w:pStyle w:val="ListParagraph"/>
        <w:numPr>
          <w:ilvl w:val="0"/>
          <w:numId w:val="2"/>
        </w:numPr>
        <w:spacing w:after="60"/>
      </w:pPr>
      <w:r>
        <w:t xml:space="preserve">Update your tracker/register before the weekly meeting — data drives the meeting.</w:t>
      </w:r>
    </w:p>
    <w:p>
      <w:pPr>
        <w:pStyle w:val="ListParagraph"/>
        <w:numPr>
          <w:ilvl w:val="0"/>
          <w:numId w:val="2"/>
        </w:numPr>
        <w:spacing w:after="60"/>
      </w:pPr>
      <w:r>
        <w:t xml:space="preserve">Own your actions to completion; if you will miss a due date, flag it early with a recovery plan.</w:t>
      </w:r>
    </w:p>
    <w:p>
      <w:pPr>
        <w:pStyle w:val="ListParagraph"/>
        <w:numPr>
          <w:ilvl w:val="0"/>
          <w:numId w:val="2"/>
        </w:numPr>
        <w:spacing w:after="60"/>
      </w:pPr>
      <w:r>
        <w:t xml:space="preserve">Progress and quantities reported must be real and verifiable, not optimistic estimates.</w:t>
      </w:r>
    </w:p>
    <w:p>
      <w:pPr>
        <w:pStyle w:val="Heading1"/>
      </w:pPr>
      <w:r>
        <w:t xml:space="preserve">11. Respect &amp; Conduct</w:t>
      </w:r>
    </w:p>
    <w:p>
      <w:pPr>
        <w:pStyle w:val="ListParagraph"/>
        <w:numPr>
          <w:ilvl w:val="0"/>
          <w:numId w:val="2"/>
        </w:numPr>
        <w:spacing w:after="60"/>
      </w:pPr>
      <w:r>
        <w:t xml:space="preserve">Treat everyone — colleagues, the Main Contractor, suppliers and the public — with respect.</w:t>
      </w:r>
    </w:p>
    <w:p>
      <w:pPr>
        <w:pStyle w:val="ListParagraph"/>
        <w:numPr>
          <w:ilvl w:val="0"/>
          <w:numId w:val="2"/>
        </w:numPr>
        <w:spacing w:after="60"/>
      </w:pPr>
      <w:r>
        <w:t xml:space="preserve">Zero tolerance for harassment, discrimination, intimidation or substance misuse on site.</w:t>
      </w:r>
    </w:p>
    <w:p>
      <w:pPr>
        <w:pStyle w:val="ListParagraph"/>
        <w:numPr>
          <w:ilvl w:val="0"/>
          <w:numId w:val="2"/>
        </w:numPr>
        <w:spacing w:after="60"/>
      </w:pPr>
      <w:r>
        <w:t xml:space="preserve">Keep the workplace clean and organised (good housekeeping is a safety and quality control).</w:t>
      </w:r>
    </w:p>
    <w:p>
      <w:pPr>
        <w:pStyle w:val="ListParagraph"/>
        <w:numPr>
          <w:ilvl w:val="0"/>
          <w:numId w:val="2"/>
        </w:numPr>
        <w:spacing w:after="60"/>
      </w:pPr>
      <w:r>
        <w:t xml:space="preserve">Represent the company professionally at all times on the project.</w:t>
      </w:r>
    </w:p>
    <w:p>
      <w:r>
        <w:br w:type="page"/>
      </w:r>
    </w:p>
    <w:p>
      <w:pPr>
        <w:pStyle w:val="Heading1"/>
      </w:pPr>
      <w:r>
        <w:t xml:space="preserve">12. Acknowledgement</w:t>
      </w:r>
    </w:p>
    <w:p>
      <w:pPr>
        <w:spacing w:after="120" w:line="276"/>
      </w:pPr>
      <w:r>
        <w:t xml:space="preserve">I have read, understood and agree to follow these Team Ground Rules for the duration of my involvement in the project.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2826"/>
        <w:gridCol w:w="2000"/>
        <w:gridCol w:w="1500"/>
      </w:tblGrid>
      <w:tr>
        <w:trPr>
          <w:tblHeader/>
        </w:trPr>
        <w:tc>
          <w:tcPr>
            <w:tcW w:type="dxa" w:w="2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Name</w:t>
            </w:r>
          </w:p>
        </w:tc>
        <w:tc>
          <w:tcPr>
            <w:tcW w:type="dxa" w:w="28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Company / Role</w:t>
            </w:r>
          </w:p>
        </w:tc>
        <w:tc>
          <w:tcPr>
            <w:tcW w:type="dxa" w:w="2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Signature</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jc w:val="left"/>
            </w:pPr>
            <w:r>
              <w:rPr>
                <w:b/>
                <w:bCs/>
                <w:color w:val="FFFFFF"/>
                <w:sz w:val="20"/>
                <w:szCs w:val="20"/>
              </w:rPr>
              <w:t xml:space="preserve">Date</w:t>
            </w:r>
          </w:p>
        </w:tc>
      </w:tr>
      <w:tr>
        <w:tc>
          <w:tcPr>
            <w:tcW w:type="dxa" w:w="2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r>
      <w:tr>
        <w:tc>
          <w:tcPr>
            <w:tcW w:type="dxa" w:w="2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r>
      <w:tr>
        <w:tc>
          <w:tcPr>
            <w:tcW w:type="dxa" w:w="2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r>
      <w:tr>
        <w:tc>
          <w:tcPr>
            <w:tcW w:type="dxa" w:w="2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r>
      <w:tr>
        <w:tc>
          <w:tcPr>
            <w:tcW w:type="dxa" w:w="2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8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jc w:val="left"/>
            </w:pPr>
            <w:r>
              <w:rPr>
                <w:b w:val="false"/>
                <w:bCs w:val="false"/>
                <w:color w:val="000000"/>
                <w:sz w:val="20"/>
                <w:szCs w:val="20"/>
              </w:rPr>
              <w:t xml:space="preserve"/>
            </w:r>
          </w:p>
        </w:tc>
      </w:tr>
      <w:tr>
        <w:tc>
          <w:tcPr>
            <w:tcW w:type="dxa" w:w="27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826"/>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20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c>
          <w:tcPr>
            <w:tcW w:type="dxa" w:w="1500"/>
            <w:tcBorders>
              <w:top w:val="single" w:color="BFBFBF" w:sz="1"/>
              <w:left w:val="single" w:color="BFBFBF" w:sz="1"/>
              <w:bottom w:val="single" w:color="BFBFBF" w:sz="1"/>
              <w:right w:val="single" w:color="BFBFBF" w:sz="1"/>
            </w:tcBorders>
            <w:shd w:fill="F2F2F2" w:val="clear"/>
            <w:tcMar>
              <w:top w:type="dxa" w:w="60"/>
              <w:left w:type="dxa" w:w="110"/>
              <w:bottom w:type="dxa" w:w="60"/>
              <w:right w:type="dxa" w:w="110"/>
            </w:tcMar>
            <w:vAlign w:val="center"/>
          </w:tcPr>
          <w:p>
            <w:pPr>
              <w:jc w:val="left"/>
            </w:pPr>
            <w:r>
              <w:rPr>
                <w:b w:val="false"/>
                <w:bCs w:val="false"/>
                <w:color w:val="000000"/>
                <w:sz w:val="20"/>
                <w:szCs w:val="20"/>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4"/>
      </w:pBdr>
      <w:tabs>
        <w:tab w:val="right" w:pos="9026"/>
      </w:tabs>
    </w:pPr>
    <w:r>
      <w:rPr>
        <w:color w:val="808080"/>
        <w:sz w:val="16"/>
        <w:szCs w:val="16"/>
      </w:rPr>
      <w:t xml:space="preserve">[Façade Contractor] — Confidential</w:t>
    </w:r>
    <w:r>
      <w:rPr>
        <w:color w:val="808080"/>
        <w:sz w:val="16"/>
        <w:szCs w:val="16"/>
      </w:rPr>
      <w:t xml:space="preserve">	Page </w:t>
    </w:r>
    <w:r>
      <w:rPr>
        <w:color w:val="808080"/>
        <w:sz w:val="16"/>
        <w:szCs w:val="16"/>
      </w:rPr>
      <w:fldChar w:fldCharType="begin"/>
      <w:instrText xml:space="preserve">PAGE</w:instrText>
      <w:fldChar w:fldCharType="separate"/>
      <w:fldChar w:fldCharType="end"/>
    </w:r>
    <w:r>
      <w:rPr>
        <w:color w:val="808080"/>
        <w:sz w:val="16"/>
        <w:szCs w:val="16"/>
      </w:rPr>
      <w:t xml:space="preserve"> of </w:t>
    </w:r>
    <w:r>
      <w:rPr>
        <w:color w:val="8080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026"/>
      </w:tabs>
    </w:pPr>
    <w:r>
      <w:rPr>
        <w:color w:val="808080"/>
        <w:sz w:val="16"/>
        <w:szCs w:val="16"/>
      </w:rPr>
      <w:t xml:space="preserve">[PROJECT NAME] — Twin Towers Façade Package</w:t>
    </w:r>
    <w:r>
      <w:rPr>
        <w:color w:val="808080"/>
        <w:sz w:val="16"/>
        <w:szCs w:val="16"/>
      </w:rPr>
      <w:t xml:space="preserve">	Team Ground Rules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lvl w:ilvl="1" w15:tentative="1">
      <w:start w:val="1"/>
      <w:numFmt w:val="bullet"/>
      <w:lvlText w:val="–"/>
      <w:lvlJc w:val="left"/>
      <w:pPr>
        <w:ind w:left="920" w:hanging="260"/>
      </w:pPr>
    </w:lvl>
  </w:abstractNum>
  <w:abstractNum w:abstractNumId="3" w15:restartNumberingAfterBreak="0">
    <w:multiLevelType w:val="hybridMultilevel"/>
    <w:lvl w:ilvl="0" w15:tentative="1">
      <w:start w:val="1"/>
      <w:numFmt w:val="decimal"/>
      <w:lvlText w:val="%1."/>
      <w:lvlJc w:val="left"/>
      <w:pPr>
        <w:ind w:left="460" w:hanging="260"/>
      </w:pPr>
    </w:lvl>
    <w:lvl w:ilvl="1" w15:tentative="1">
      <w:start w:val="1"/>
      <w:numFmt w:val="lowerLetter"/>
      <w:lvlText w:val="%2)"/>
      <w:lvlJc w:val="left"/>
      <w:pPr>
        <w:ind w:left="9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D9E2F3" w:sz="4" w:space="4"/>
      </w:pBdr>
      <w:spacing w:after="160" w:before="300"/>
      <w:outlineLvl w:val="0"/>
    </w:pPr>
    <w:rPr>
      <w:rFonts w:ascii="Arial" w:cs="Arial" w:eastAsia="Arial" w:hAnsi="Arial"/>
      <w:b/>
      <w:bCs/>
      <w:color w:val="1F3864"/>
      <w:sz w:val="30"/>
      <w:szCs w:val="30"/>
    </w:rPr>
  </w:style>
  <w:style w:type="paragraph" w:styleId="Heading2">
    <w:name w:val="Heading 2"/>
    <w:basedOn w:val="Normal"/>
    <w:next w:val="Normal"/>
    <w:qFormat/>
    <w:pPr>
      <w:spacing w:after="120" w:before="220"/>
      <w:outlineLvl w:val="1"/>
    </w:pPr>
    <w:rPr>
      <w:rFonts w:ascii="Arial" w:cs="Arial" w:eastAsia="Arial" w:hAnsi="Arial"/>
      <w:b/>
      <w:bCs/>
      <w:color w:val="2E5496"/>
      <w:sz w:val="25"/>
      <w:szCs w:val="25"/>
    </w:rPr>
  </w:style>
  <w:style w:type="paragraph" w:styleId="Heading3">
    <w:name w:val="Heading 3"/>
    <w:basedOn w:val="Normal"/>
    <w:next w:val="Normal"/>
    <w:qFormat/>
    <w:pPr>
      <w:spacing w:after="80" w:before="160"/>
      <w:outlineLvl w:val="2"/>
    </w:pPr>
    <w:rPr>
      <w:rFonts w:ascii="Arial" w:cs="Arial" w:eastAsia="Arial" w:hAnsi="Arial"/>
      <w:b/>
      <w:bCs/>
      <w:color w:val="40404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Ground Rules</dc:title>
  <dc:creator>[Façade Contractor]</dc:creator>
  <cp:lastModifiedBy>Un-named</cp:lastModifiedBy>
  <cp:revision>1</cp:revision>
  <dcterms:created xsi:type="dcterms:W3CDTF">2026-06-28T16:16:28.752Z</dcterms:created>
  <dcterms:modified xsi:type="dcterms:W3CDTF">2026-06-28T16:16:28.752Z</dcterms:modified>
</cp:coreProperties>
</file>

<file path=docProps/custom.xml><?xml version="1.0" encoding="utf-8"?>
<Properties xmlns="http://schemas.openxmlformats.org/officeDocument/2006/custom-properties" xmlns:vt="http://schemas.openxmlformats.org/officeDocument/2006/docPropsVTypes"/>
</file>